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163A8D">
        <w:trPr>
          <w:trHeight w:hRule="exact" w:val="2835"/>
        </w:trPr>
        <w:tc>
          <w:tcPr>
            <w:tcW w:w="2408" w:type="dxa"/>
            <w:tcBorders>
              <w:bottom w:val="nil"/>
            </w:tcBorders>
          </w:tcPr>
          <w:p w:rsidR="00163A8D" w:rsidRPr="00B23B9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rFonts w:ascii="Arial Black" w:hAnsi="Arial Black"/>
                <w:sz w:val="16"/>
              </w:rPr>
            </w:pPr>
            <w:r w:rsidRPr="00B23B9D">
              <w:rPr>
                <w:rFonts w:ascii="Arial Black" w:hAnsi="Arial Black"/>
                <w:sz w:val="16"/>
              </w:rPr>
              <w:t>Finanstilsynet</w:t>
            </w:r>
          </w:p>
          <w:p w:rsidR="00163A8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</w:p>
          <w:p w:rsidR="006C7261" w:rsidRDefault="00C14313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0" w:name="PCAdato"/>
            <w:bookmarkStart w:id="1" w:name="pDokDato"/>
            <w:bookmarkEnd w:id="0"/>
            <w:r>
              <w:rPr>
                <w:sz w:val="16"/>
              </w:rPr>
              <w:t>15</w:t>
            </w:r>
            <w:r w:rsidR="004C3628">
              <w:rPr>
                <w:sz w:val="16"/>
              </w:rPr>
              <w:t xml:space="preserve">. </w:t>
            </w:r>
            <w:r>
              <w:rPr>
                <w:sz w:val="16"/>
              </w:rPr>
              <w:t>oktober</w:t>
            </w:r>
            <w:r w:rsidR="004C3628">
              <w:rPr>
                <w:sz w:val="16"/>
              </w:rPr>
              <w:t xml:space="preserve"> 2015</w:t>
            </w:r>
            <w:bookmarkEnd w:id="1"/>
          </w:p>
          <w:p w:rsidR="00163A8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2" w:name="Kontor"/>
            <w:bookmarkEnd w:id="2"/>
          </w:p>
          <w:p w:rsidR="00163A8D" w:rsidRDefault="00163A8D" w:rsidP="004C3628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</w:pPr>
          </w:p>
        </w:tc>
      </w:tr>
    </w:tbl>
    <w:tbl>
      <w:tblPr>
        <w:tblW w:w="7258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8"/>
      </w:tblGrid>
      <w:tr w:rsidR="00163A8D" w:rsidTr="00C14313">
        <w:trPr>
          <w:cantSplit/>
          <w:trHeight w:val="2040"/>
        </w:trPr>
        <w:tc>
          <w:tcPr>
            <w:tcW w:w="7258" w:type="dxa"/>
          </w:tcPr>
          <w:p w:rsidR="00163A8D" w:rsidRDefault="00163A8D"/>
          <w:p w:rsidR="00163A8D" w:rsidRDefault="00163A8D"/>
          <w:p w:rsidR="00163A8D" w:rsidRDefault="00163A8D">
            <w:bookmarkStart w:id="3" w:name="PCAmodtager"/>
            <w:bookmarkEnd w:id="3"/>
          </w:p>
          <w:p w:rsidR="00163A8D" w:rsidRDefault="00163A8D"/>
          <w:p w:rsidR="00163A8D" w:rsidRDefault="00163A8D"/>
          <w:p w:rsidR="00163A8D" w:rsidRDefault="00163A8D"/>
          <w:p w:rsidR="00163A8D" w:rsidRDefault="00163A8D"/>
          <w:p w:rsidR="00163A8D" w:rsidRDefault="00163A8D"/>
        </w:tc>
      </w:tr>
    </w:tbl>
    <w:p w:rsidR="00C14313" w:rsidRPr="00CC6CF9" w:rsidRDefault="00C14313" w:rsidP="00C14313">
      <w:pPr>
        <w:pStyle w:val="Overskrift1"/>
      </w:pPr>
      <w:bookmarkStart w:id="4" w:name="PCAoverskrift"/>
      <w:bookmarkStart w:id="5" w:name="PCAStart"/>
      <w:bookmarkEnd w:id="4"/>
      <w:bookmarkEnd w:id="5"/>
      <w:r>
        <w:t>Ansøgning om brug af matchtilpasning</w:t>
      </w:r>
    </w:p>
    <w:tbl>
      <w:tblPr>
        <w:tblW w:w="70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53"/>
      </w:tblGrid>
      <w:tr w:rsidR="00C14313" w:rsidRPr="001834ED" w:rsidTr="000E747D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C14313" w:rsidRPr="001834ED" w:rsidRDefault="00C14313" w:rsidP="000E747D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</w:p>
          <w:p w:rsidR="00C14313" w:rsidRPr="001834ED" w:rsidRDefault="00C14313" w:rsidP="000E747D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Selskabsnavn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C14313" w:rsidRPr="001834ED" w:rsidRDefault="00C14313" w:rsidP="000E747D">
            <w:pPr>
              <w:spacing w:after="120" w:line="240" w:lineRule="auto"/>
              <w:rPr>
                <w:rFonts w:cs="Arial"/>
                <w:b/>
                <w:snapToGrid w:val="0"/>
                <w:color w:val="000000"/>
              </w:rPr>
            </w:pPr>
            <w:r w:rsidRPr="001834ED">
              <w:rPr>
                <w:rFonts w:cs="Arial"/>
                <w:b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C14313" w:rsidRPr="001834ED" w:rsidTr="000E747D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C14313" w:rsidRPr="001834ED" w:rsidRDefault="00C14313" w:rsidP="000E747D">
            <w:pPr>
              <w:spacing w:after="120" w:line="240" w:lineRule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CVR-nummer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C14313" w:rsidRPr="001834ED" w:rsidRDefault="00C14313" w:rsidP="000E747D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  <w:r w:rsidRPr="001834ED">
              <w:rPr>
                <w:rFonts w:cs="Arial"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C14313" w:rsidRPr="001834ED" w:rsidTr="000E747D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C14313" w:rsidRPr="001834ED" w:rsidRDefault="00C14313" w:rsidP="000E747D">
            <w:pPr>
              <w:spacing w:after="120" w:line="240" w:lineRule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Dato for ansøgning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C14313" w:rsidRPr="001834ED" w:rsidRDefault="00C14313" w:rsidP="000E747D">
            <w:pPr>
              <w:spacing w:after="120" w:line="240" w:lineRule="auto"/>
              <w:rPr>
                <w:rFonts w:cs="Arial"/>
                <w:noProof/>
                <w:snapToGrid w:val="0"/>
                <w:color w:val="000000"/>
              </w:rPr>
            </w:pPr>
          </w:p>
        </w:tc>
      </w:tr>
    </w:tbl>
    <w:p w:rsidR="00C14313" w:rsidRPr="00F23784" w:rsidRDefault="00C14313" w:rsidP="00C14313">
      <w:pPr>
        <w:rPr>
          <w:rFonts w:cs="Arial"/>
        </w:rPr>
      </w:pPr>
      <w:r w:rsidRPr="00F23784">
        <w:rPr>
          <w:rFonts w:cs="Arial"/>
        </w:rPr>
        <w:t xml:space="preserve">Nedenstående skema angiver de redegørelser og </w:t>
      </w:r>
      <w:r>
        <w:rPr>
          <w:rFonts w:cs="Arial"/>
        </w:rPr>
        <w:t>dokumenter</w:t>
      </w:r>
      <w:r w:rsidRPr="00F23784">
        <w:rPr>
          <w:rFonts w:cs="Arial"/>
        </w:rPr>
        <w:t xml:space="preserve"> selska</w:t>
      </w:r>
      <w:r>
        <w:rPr>
          <w:rFonts w:cs="Arial"/>
        </w:rPr>
        <w:t>bet skal indsende i forbindelse med ansøgningen om brug af matchtilpasning. De nærmere bestemmelser om matchtilpasning kan ses i bekendtgørelse om matchtilpasning og volatilitetsjustering af den risikofrie rentekurve for gruppe 1-forsikringsselskaber samt Kommissionens gennemførselsforor</w:t>
      </w:r>
      <w:r>
        <w:rPr>
          <w:rFonts w:cs="Arial"/>
        </w:rPr>
        <w:t>d</w:t>
      </w:r>
      <w:r>
        <w:rPr>
          <w:rFonts w:cs="Arial"/>
        </w:rPr>
        <w:t>ning 2015/500 om procedurer ved godkendelse af matchtilpasning.</w:t>
      </w:r>
      <w:r>
        <w:rPr>
          <w:rStyle w:val="Fodnotehenvisning"/>
          <w:rFonts w:cs="Arial"/>
        </w:rPr>
        <w:footnoteReference w:id="1"/>
      </w:r>
    </w:p>
    <w:p w:rsidR="00C14313" w:rsidRDefault="00C14313" w:rsidP="00C14313">
      <w:pPr>
        <w:rPr>
          <w:rFonts w:cs="Arial"/>
        </w:rPr>
      </w:pPr>
    </w:p>
    <w:p w:rsidR="00C14313" w:rsidRDefault="00C14313" w:rsidP="00C14313">
      <w:pPr>
        <w:rPr>
          <w:rFonts w:cs="Arial"/>
        </w:rPr>
      </w:pPr>
      <w:r>
        <w:rPr>
          <w:rFonts w:cs="Arial"/>
        </w:rPr>
        <w:t>Ansøgning om brug af matchtilpasning skal behandles af selskabets best</w:t>
      </w:r>
      <w:r>
        <w:rPr>
          <w:rFonts w:cs="Arial"/>
        </w:rPr>
        <w:t>y</w:t>
      </w:r>
      <w:r>
        <w:rPr>
          <w:rFonts w:cs="Arial"/>
        </w:rPr>
        <w:t>relse inden den indsendes til Finanstilsynet.</w:t>
      </w:r>
    </w:p>
    <w:p w:rsidR="00C14313" w:rsidRDefault="00C14313" w:rsidP="00C14313">
      <w:pPr>
        <w:rPr>
          <w:rFonts w:cs="Arial"/>
        </w:rPr>
      </w:pPr>
    </w:p>
    <w:p w:rsidR="00C14313" w:rsidRDefault="00C14313" w:rsidP="00C14313">
      <w:pPr>
        <w:rPr>
          <w:rFonts w:cs="Arial"/>
        </w:rPr>
      </w:pPr>
      <w:r>
        <w:rPr>
          <w:rFonts w:cs="Arial"/>
        </w:rPr>
        <w:t>Behandlingen af ansøgningen følger gennemførselsforordningens artikel 6 og 7.</w:t>
      </w:r>
    </w:p>
    <w:p w:rsidR="00C14313" w:rsidRDefault="00C14313" w:rsidP="00C14313">
      <w:pPr>
        <w:rPr>
          <w:rFonts w:cs="Arial"/>
          <w:b/>
          <w:u w:val="single"/>
        </w:rPr>
      </w:pPr>
    </w:p>
    <w:p w:rsidR="00C14313" w:rsidRPr="00C14313" w:rsidRDefault="00C14313" w:rsidP="00C14313">
      <w:pPr>
        <w:spacing w:line="360" w:lineRule="auto"/>
        <w:rPr>
          <w:rFonts w:cs="Arial"/>
          <w:b/>
        </w:rPr>
      </w:pPr>
      <w:r w:rsidRPr="00FC1DB4">
        <w:rPr>
          <w:rFonts w:cs="Arial"/>
          <w:b/>
        </w:rPr>
        <w:t>Information relateret til den udvalgte portefølje af forsikringsforpligte</w:t>
      </w:r>
      <w:r w:rsidRPr="00FC1DB4">
        <w:rPr>
          <w:rFonts w:cs="Arial"/>
          <w:b/>
        </w:rPr>
        <w:t>l</w:t>
      </w:r>
      <w:r w:rsidRPr="00FC1DB4">
        <w:rPr>
          <w:rFonts w:cs="Arial"/>
          <w:b/>
        </w:rPr>
        <w:t>ser</w:t>
      </w:r>
      <w:bookmarkStart w:id="6" w:name="_GoBack"/>
      <w:bookmarkEnd w:id="6"/>
    </w:p>
    <w:tbl>
      <w:tblPr>
        <w:tblStyle w:val="Tabel-Gitter"/>
        <w:tblW w:w="7088" w:type="dxa"/>
        <w:tblInd w:w="108" w:type="dxa"/>
        <w:tblLook w:val="04A0" w:firstRow="1" w:lastRow="0" w:firstColumn="1" w:lastColumn="0" w:noHBand="0" w:noVBand="1"/>
      </w:tblPr>
      <w:tblGrid>
        <w:gridCol w:w="7088"/>
      </w:tblGrid>
      <w:tr w:rsidR="00C14313" w:rsidRPr="00DE177D" w:rsidTr="000E747D">
        <w:trPr>
          <w:trHeight w:val="265"/>
        </w:trPr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C14313" w:rsidRPr="00DE177D" w:rsidRDefault="00C14313" w:rsidP="000E747D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En overordnet beskrivelse af porteføljen (karakteristika, volumen o.l.)</w:t>
            </w:r>
          </w:p>
        </w:tc>
      </w:tr>
      <w:tr w:rsidR="00C14313" w:rsidRPr="00017D95" w:rsidTr="000E747D">
        <w:trPr>
          <w:trHeight w:val="441"/>
        </w:trPr>
        <w:tc>
          <w:tcPr>
            <w:tcW w:w="7088" w:type="dxa"/>
            <w:tcMar>
              <w:top w:w="57" w:type="dxa"/>
              <w:bottom w:w="57" w:type="dxa"/>
            </w:tcMar>
          </w:tcPr>
          <w:p w:rsidR="00C14313" w:rsidRPr="00017D95" w:rsidRDefault="00C14313" w:rsidP="00C14313">
            <w:pPr>
              <w:pStyle w:val="Listeafsnit"/>
              <w:spacing w:before="100" w:beforeAutospacing="1" w:after="100" w:afterAutospacing="1"/>
              <w:ind w:left="1440" w:hanging="360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C14313" w:rsidRPr="00017D95" w:rsidRDefault="00C14313" w:rsidP="000E747D">
            <w:pPr>
              <w:rPr>
                <w:rFonts w:cs="Arial"/>
                <w:b/>
                <w:sz w:val="22"/>
                <w:szCs w:val="22"/>
                <w:lang w:val="da-DK"/>
              </w:rPr>
            </w:pPr>
          </w:p>
        </w:tc>
      </w:tr>
      <w:tr w:rsidR="00C14313" w:rsidRPr="00A71782" w:rsidTr="000E747D"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C14313" w:rsidRPr="00A71782" w:rsidRDefault="00C14313" w:rsidP="000E747D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Dokumentation for, at porteføljen ikke indeholder forpligtelser der giver anledning til fremtidige præmier jf. bekendtgørelsens § 2, stk. 1, nr. 6.</w:t>
            </w:r>
          </w:p>
        </w:tc>
      </w:tr>
      <w:tr w:rsidR="00C14313" w:rsidRPr="001834ED" w:rsidTr="000E747D">
        <w:tc>
          <w:tcPr>
            <w:tcW w:w="7088" w:type="dxa"/>
            <w:tcMar>
              <w:top w:w="57" w:type="dxa"/>
              <w:bottom w:w="57" w:type="dxa"/>
            </w:tcMar>
          </w:tcPr>
          <w:p w:rsidR="00C14313" w:rsidRPr="00017D95" w:rsidRDefault="00C14313" w:rsidP="00C14313">
            <w:pPr>
              <w:pStyle w:val="Listeafsnit"/>
              <w:spacing w:before="100" w:beforeAutospacing="1" w:after="100" w:afterAutospacing="1"/>
              <w:ind w:left="1440" w:hanging="360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lastRenderedPageBreak/>
              <w:t>Redegørelse/henvisning til vedlagte dokumenter</w:t>
            </w:r>
          </w:p>
          <w:p w:rsidR="00C14313" w:rsidRPr="004531C5" w:rsidRDefault="00C14313" w:rsidP="000E747D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</w:tc>
      </w:tr>
      <w:tr w:rsidR="00C14313" w:rsidRPr="00A71782" w:rsidTr="000E747D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C14313" w:rsidRDefault="00C14313" w:rsidP="000E747D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Dokumentation for, at de eneste forsikringsrisici i porteføljen er l</w:t>
            </w:r>
            <w:r>
              <w:rPr>
                <w:sz w:val="22"/>
                <w:szCs w:val="22"/>
                <w:lang w:val="da-DK"/>
              </w:rPr>
              <w:t>e</w:t>
            </w:r>
            <w:r>
              <w:rPr>
                <w:sz w:val="22"/>
                <w:szCs w:val="22"/>
                <w:lang w:val="da-DK"/>
              </w:rPr>
              <w:t>vetidsrisici, omkostningsrisici, genoptagelsesrisici og dødelighed</w:t>
            </w:r>
            <w:r>
              <w:rPr>
                <w:sz w:val="22"/>
                <w:szCs w:val="22"/>
                <w:lang w:val="da-DK"/>
              </w:rPr>
              <w:t>s</w:t>
            </w:r>
            <w:r>
              <w:rPr>
                <w:sz w:val="22"/>
                <w:szCs w:val="22"/>
                <w:lang w:val="da-DK"/>
              </w:rPr>
              <w:t>risici jf. bekendtgørelsens § 2, stk. 1, nr. 7.</w:t>
            </w:r>
          </w:p>
          <w:p w:rsidR="00C14313" w:rsidRDefault="00C14313" w:rsidP="000E747D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360"/>
              <w:jc w:val="left"/>
              <w:rPr>
                <w:sz w:val="22"/>
                <w:szCs w:val="22"/>
                <w:lang w:val="da-DK"/>
              </w:rPr>
            </w:pPr>
          </w:p>
          <w:p w:rsidR="00C14313" w:rsidRPr="00A71782" w:rsidRDefault="00C14313" w:rsidP="000E747D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360"/>
              <w:jc w:val="lef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Herunder dokumentation for, at eventuelle dødelighedsrisici ma</w:t>
            </w:r>
            <w:r>
              <w:rPr>
                <w:sz w:val="22"/>
                <w:szCs w:val="22"/>
                <w:lang w:val="da-DK"/>
              </w:rPr>
              <w:t>k</w:t>
            </w:r>
            <w:r>
              <w:rPr>
                <w:sz w:val="22"/>
                <w:szCs w:val="22"/>
                <w:lang w:val="da-DK"/>
              </w:rPr>
              <w:t>simalt svarer til 5 % stigning i bedste skøn jf. bekendtgørelsens § 2, stk. 1, nr. 8.</w:t>
            </w:r>
          </w:p>
        </w:tc>
      </w:tr>
      <w:tr w:rsidR="00C14313" w:rsidRPr="001834ED" w:rsidTr="000E747D">
        <w:tc>
          <w:tcPr>
            <w:tcW w:w="7088" w:type="dxa"/>
            <w:tcMar>
              <w:top w:w="57" w:type="dxa"/>
              <w:bottom w:w="57" w:type="dxa"/>
            </w:tcMar>
          </w:tcPr>
          <w:p w:rsidR="00C14313" w:rsidRPr="00017D95" w:rsidRDefault="00C14313" w:rsidP="00C14313">
            <w:pPr>
              <w:pStyle w:val="Listeafsnit"/>
              <w:spacing w:before="100" w:beforeAutospacing="1" w:after="100" w:afterAutospacing="1"/>
              <w:ind w:left="1440" w:hanging="360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C14313" w:rsidRPr="001834ED" w:rsidRDefault="00C14313" w:rsidP="000E747D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</w:tc>
      </w:tr>
      <w:tr w:rsidR="00C14313" w:rsidRPr="00A71782" w:rsidTr="000E747D"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C14313" w:rsidRDefault="00C14313" w:rsidP="000E747D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Dokumentation for, at eventuelle optioner i forsikringsforpligtelse</w:t>
            </w:r>
            <w:r>
              <w:rPr>
                <w:sz w:val="22"/>
                <w:szCs w:val="22"/>
                <w:lang w:val="da-DK"/>
              </w:rPr>
              <w:t>r</w:t>
            </w:r>
            <w:r>
              <w:rPr>
                <w:sz w:val="22"/>
                <w:szCs w:val="22"/>
                <w:lang w:val="da-DK"/>
              </w:rPr>
              <w:t>ne i porteføljen er begrænset til tilbagekøb, hvor tilbagekøbsvæ</w:t>
            </w:r>
            <w:r>
              <w:rPr>
                <w:sz w:val="22"/>
                <w:szCs w:val="22"/>
                <w:lang w:val="da-DK"/>
              </w:rPr>
              <w:t>r</w:t>
            </w:r>
            <w:r>
              <w:rPr>
                <w:sz w:val="22"/>
                <w:szCs w:val="22"/>
                <w:lang w:val="da-DK"/>
              </w:rPr>
              <w:t>dien ikke kan overstige værdien af aktiverne jf. bekendtgørelsens § 2, stk. 1, nr. 9.</w:t>
            </w:r>
          </w:p>
          <w:p w:rsidR="00C14313" w:rsidRPr="00A71782" w:rsidRDefault="00C14313" w:rsidP="000E747D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360"/>
              <w:jc w:val="left"/>
              <w:rPr>
                <w:sz w:val="22"/>
                <w:szCs w:val="22"/>
                <w:lang w:val="da-DK"/>
              </w:rPr>
            </w:pPr>
          </w:p>
        </w:tc>
      </w:tr>
      <w:tr w:rsidR="00C14313" w:rsidRPr="001834ED" w:rsidTr="000E747D">
        <w:tc>
          <w:tcPr>
            <w:tcW w:w="7088" w:type="dxa"/>
            <w:tcMar>
              <w:top w:w="57" w:type="dxa"/>
              <w:bottom w:w="57" w:type="dxa"/>
            </w:tcMar>
          </w:tcPr>
          <w:p w:rsidR="00C14313" w:rsidRPr="00017D95" w:rsidRDefault="00C14313" w:rsidP="00C14313">
            <w:pPr>
              <w:pStyle w:val="Listeafsnit"/>
              <w:spacing w:before="100" w:beforeAutospacing="1" w:after="100" w:afterAutospacing="1"/>
              <w:ind w:left="1440" w:hanging="360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C14313" w:rsidRPr="001834ED" w:rsidRDefault="00C14313" w:rsidP="000E747D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</w:tc>
      </w:tr>
      <w:tr w:rsidR="00C14313" w:rsidRPr="00A71782" w:rsidTr="000E747D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C14313" w:rsidRPr="00436F1B" w:rsidRDefault="00C14313" w:rsidP="000E747D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Dokumentation for, forsikringsforpligtelserne i porteføljen ikke er adskilt i forskellige dele, hvor nogle dele er placeret udenfor port</w:t>
            </w:r>
            <w:r>
              <w:rPr>
                <w:sz w:val="22"/>
                <w:szCs w:val="22"/>
                <w:lang w:val="da-DK"/>
              </w:rPr>
              <w:t>e</w:t>
            </w:r>
            <w:r>
              <w:rPr>
                <w:sz w:val="22"/>
                <w:szCs w:val="22"/>
                <w:lang w:val="da-DK"/>
              </w:rPr>
              <w:t xml:space="preserve">føljen jf. bekendtgørelsens </w:t>
            </w:r>
            <w:r w:rsidRPr="00436F1B">
              <w:rPr>
                <w:sz w:val="22"/>
                <w:szCs w:val="22"/>
                <w:lang w:val="da-DK"/>
              </w:rPr>
              <w:t>§ 2, stk. 1, nr. 10.</w:t>
            </w:r>
          </w:p>
        </w:tc>
      </w:tr>
      <w:tr w:rsidR="00C14313" w:rsidRPr="001647BA" w:rsidTr="000E747D">
        <w:tc>
          <w:tcPr>
            <w:tcW w:w="7088" w:type="dxa"/>
            <w:tcMar>
              <w:top w:w="57" w:type="dxa"/>
              <w:bottom w:w="57" w:type="dxa"/>
            </w:tcMar>
          </w:tcPr>
          <w:p w:rsidR="00C14313" w:rsidRPr="00017D95" w:rsidRDefault="00C14313" w:rsidP="00C14313">
            <w:pPr>
              <w:pStyle w:val="Listeafsnit"/>
              <w:spacing w:before="100" w:beforeAutospacing="1" w:after="100" w:afterAutospacing="1"/>
              <w:ind w:left="1440" w:hanging="360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C14313" w:rsidRPr="001647BA" w:rsidRDefault="00C14313" w:rsidP="000E747D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</w:tc>
      </w:tr>
    </w:tbl>
    <w:p w:rsidR="00C14313" w:rsidRDefault="00C14313" w:rsidP="00C14313">
      <w:pPr>
        <w:spacing w:line="360" w:lineRule="auto"/>
        <w:rPr>
          <w:rFonts w:cs="Arial"/>
          <w:b/>
        </w:rPr>
      </w:pPr>
    </w:p>
    <w:p w:rsidR="00C14313" w:rsidRPr="00FC1DB4" w:rsidRDefault="00C14313" w:rsidP="00C14313">
      <w:pPr>
        <w:spacing w:line="360" w:lineRule="auto"/>
        <w:rPr>
          <w:rFonts w:cs="Arial"/>
          <w:b/>
        </w:rPr>
      </w:pPr>
      <w:r w:rsidRPr="00FC1DB4">
        <w:rPr>
          <w:rFonts w:cs="Arial"/>
          <w:b/>
        </w:rPr>
        <w:t>Information relateret til den udvalgte aktivportefølje</w:t>
      </w:r>
    </w:p>
    <w:tbl>
      <w:tblPr>
        <w:tblStyle w:val="Tabel-Gitter"/>
        <w:tblW w:w="7088" w:type="dxa"/>
        <w:tblInd w:w="108" w:type="dxa"/>
        <w:tblLook w:val="04A0" w:firstRow="1" w:lastRow="0" w:firstColumn="1" w:lastColumn="0" w:noHBand="0" w:noVBand="1"/>
      </w:tblPr>
      <w:tblGrid>
        <w:gridCol w:w="7088"/>
      </w:tblGrid>
      <w:tr w:rsidR="00C14313" w:rsidRPr="00DE177D" w:rsidTr="000E747D">
        <w:trPr>
          <w:trHeight w:val="265"/>
        </w:trPr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C14313" w:rsidRPr="000357D7" w:rsidRDefault="00C14313" w:rsidP="000E747D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Detaljerede oplysninger om aktiverne i porteføljen jf. gennemfø</w:t>
            </w:r>
            <w:r>
              <w:rPr>
                <w:sz w:val="22"/>
                <w:szCs w:val="22"/>
                <w:lang w:val="da-DK"/>
              </w:rPr>
              <w:t>r</w:t>
            </w:r>
            <w:r>
              <w:rPr>
                <w:sz w:val="22"/>
                <w:szCs w:val="22"/>
                <w:lang w:val="da-DK"/>
              </w:rPr>
              <w:t>selsforordningens artikel 2(b), samt en beskrivelse af, hvordan selskabet sikrer sig at porteføljen kan holdes til udløb jf. bekend</w:t>
            </w:r>
            <w:r>
              <w:rPr>
                <w:sz w:val="22"/>
                <w:szCs w:val="22"/>
                <w:lang w:val="da-DK"/>
              </w:rPr>
              <w:t>t</w:t>
            </w:r>
            <w:r>
              <w:rPr>
                <w:sz w:val="22"/>
                <w:szCs w:val="22"/>
                <w:lang w:val="da-DK"/>
              </w:rPr>
              <w:t xml:space="preserve">gørelsens </w:t>
            </w:r>
            <w:r w:rsidRPr="00436F1B">
              <w:rPr>
                <w:sz w:val="22"/>
                <w:szCs w:val="22"/>
                <w:lang w:val="da-DK"/>
              </w:rPr>
              <w:t xml:space="preserve">§ 2, stk. 1, nr. </w:t>
            </w:r>
            <w:r>
              <w:rPr>
                <w:sz w:val="22"/>
                <w:szCs w:val="22"/>
                <w:lang w:val="da-DK"/>
              </w:rPr>
              <w:t xml:space="preserve">1. </w:t>
            </w:r>
            <w:r w:rsidRPr="000357D7">
              <w:rPr>
                <w:sz w:val="22"/>
                <w:szCs w:val="22"/>
                <w:lang w:val="da-DK"/>
              </w:rPr>
              <w:t xml:space="preserve"> </w:t>
            </w:r>
          </w:p>
        </w:tc>
      </w:tr>
      <w:tr w:rsidR="00C14313" w:rsidRPr="00017D95" w:rsidTr="000E747D">
        <w:trPr>
          <w:trHeight w:val="441"/>
        </w:trPr>
        <w:tc>
          <w:tcPr>
            <w:tcW w:w="7088" w:type="dxa"/>
            <w:tcMar>
              <w:top w:w="57" w:type="dxa"/>
              <w:bottom w:w="57" w:type="dxa"/>
            </w:tcMar>
          </w:tcPr>
          <w:p w:rsidR="00C14313" w:rsidRPr="00017D95" w:rsidRDefault="00C14313" w:rsidP="00C14313">
            <w:pPr>
              <w:pStyle w:val="Listeafsnit"/>
              <w:spacing w:before="100" w:beforeAutospacing="1" w:after="100" w:afterAutospacing="1"/>
              <w:ind w:left="1440" w:hanging="360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C14313" w:rsidRPr="00017D95" w:rsidRDefault="00C14313" w:rsidP="000E747D">
            <w:pPr>
              <w:rPr>
                <w:rFonts w:cs="Arial"/>
                <w:b/>
                <w:sz w:val="22"/>
                <w:szCs w:val="22"/>
                <w:lang w:val="da-DK"/>
              </w:rPr>
            </w:pPr>
          </w:p>
        </w:tc>
      </w:tr>
      <w:tr w:rsidR="00C14313" w:rsidRPr="00A71782" w:rsidTr="000E747D"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C14313" w:rsidRPr="00A71782" w:rsidRDefault="00C14313" w:rsidP="000E747D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Dokumentation for, at porteføljen kun indeholder aktiver med faste betalingsstrømme jf. bekendtgørelsens § 2, stk. 1, nr. 2.</w:t>
            </w:r>
          </w:p>
        </w:tc>
      </w:tr>
      <w:tr w:rsidR="00C14313" w:rsidRPr="001834ED" w:rsidTr="000E747D">
        <w:tc>
          <w:tcPr>
            <w:tcW w:w="7088" w:type="dxa"/>
            <w:tcMar>
              <w:top w:w="57" w:type="dxa"/>
              <w:bottom w:w="57" w:type="dxa"/>
            </w:tcMar>
          </w:tcPr>
          <w:p w:rsidR="00C14313" w:rsidRPr="00017D95" w:rsidRDefault="00C14313" w:rsidP="00C14313">
            <w:pPr>
              <w:pStyle w:val="Listeafsnit"/>
              <w:spacing w:before="100" w:beforeAutospacing="1" w:after="100" w:afterAutospacing="1"/>
              <w:ind w:left="1440" w:hanging="360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C14313" w:rsidRPr="004531C5" w:rsidRDefault="00C14313" w:rsidP="000E747D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</w:tc>
      </w:tr>
    </w:tbl>
    <w:p w:rsidR="00C14313" w:rsidRDefault="00C14313" w:rsidP="00C14313">
      <w:pPr>
        <w:spacing w:line="360" w:lineRule="auto"/>
        <w:rPr>
          <w:rFonts w:cs="Arial"/>
          <w:b/>
        </w:rPr>
      </w:pPr>
    </w:p>
    <w:p w:rsidR="00C14313" w:rsidRDefault="00C14313" w:rsidP="00C1431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Information relateret til match og porteføljestyring</w:t>
      </w:r>
    </w:p>
    <w:tbl>
      <w:tblPr>
        <w:tblStyle w:val="Tabel-Gitter"/>
        <w:tblW w:w="7088" w:type="dxa"/>
        <w:tblInd w:w="108" w:type="dxa"/>
        <w:tblLook w:val="04A0" w:firstRow="1" w:lastRow="0" w:firstColumn="1" w:lastColumn="0" w:noHBand="0" w:noVBand="1"/>
      </w:tblPr>
      <w:tblGrid>
        <w:gridCol w:w="7088"/>
      </w:tblGrid>
      <w:tr w:rsidR="00C14313" w:rsidRPr="00DE177D" w:rsidTr="000E747D">
        <w:trPr>
          <w:trHeight w:val="265"/>
        </w:trPr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C14313" w:rsidRDefault="00C14313" w:rsidP="000E747D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Dokumentation for omfanget af match mellem aktiver og forpligte</w:t>
            </w:r>
            <w:r>
              <w:rPr>
                <w:sz w:val="22"/>
                <w:szCs w:val="22"/>
                <w:lang w:val="da-DK"/>
              </w:rPr>
              <w:t>l</w:t>
            </w:r>
            <w:r>
              <w:rPr>
                <w:sz w:val="22"/>
                <w:szCs w:val="22"/>
                <w:lang w:val="da-DK"/>
              </w:rPr>
              <w:t>ser jf. bekendtgørelsens § 2, stk. 1, nr. 5, herunder likviditetspl</w:t>
            </w:r>
            <w:r>
              <w:rPr>
                <w:sz w:val="22"/>
                <w:szCs w:val="22"/>
                <w:lang w:val="da-DK"/>
              </w:rPr>
              <w:t>a</w:t>
            </w:r>
            <w:r>
              <w:rPr>
                <w:sz w:val="22"/>
                <w:szCs w:val="22"/>
                <w:lang w:val="da-DK"/>
              </w:rPr>
              <w:t>nen jf. § 2, stk. 4.</w:t>
            </w:r>
          </w:p>
          <w:p w:rsidR="00C14313" w:rsidRDefault="00C14313" w:rsidP="000E747D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360"/>
              <w:jc w:val="left"/>
              <w:rPr>
                <w:sz w:val="22"/>
                <w:szCs w:val="22"/>
                <w:lang w:val="da-DK"/>
              </w:rPr>
            </w:pPr>
          </w:p>
          <w:p w:rsidR="00C14313" w:rsidRPr="00DE177D" w:rsidRDefault="00C14313" w:rsidP="000E747D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left="360"/>
              <w:jc w:val="lef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I det omfang der ikke er fuldt match, skal selskabet opgøre og vu</w:t>
            </w:r>
            <w:r>
              <w:rPr>
                <w:sz w:val="22"/>
                <w:szCs w:val="22"/>
                <w:lang w:val="da-DK"/>
              </w:rPr>
              <w:t>r</w:t>
            </w:r>
            <w:r>
              <w:rPr>
                <w:sz w:val="22"/>
                <w:szCs w:val="22"/>
                <w:lang w:val="da-DK"/>
              </w:rPr>
              <w:t xml:space="preserve">dere omfanget af risiciene herved.  </w:t>
            </w:r>
          </w:p>
        </w:tc>
      </w:tr>
      <w:tr w:rsidR="00C14313" w:rsidRPr="00017D95" w:rsidTr="000E747D">
        <w:trPr>
          <w:trHeight w:val="441"/>
        </w:trPr>
        <w:tc>
          <w:tcPr>
            <w:tcW w:w="7088" w:type="dxa"/>
            <w:tcMar>
              <w:top w:w="57" w:type="dxa"/>
              <w:bottom w:w="57" w:type="dxa"/>
            </w:tcMar>
          </w:tcPr>
          <w:p w:rsidR="00C14313" w:rsidRPr="00017D95" w:rsidRDefault="00C14313" w:rsidP="00C14313">
            <w:pPr>
              <w:pStyle w:val="Listeafsnit"/>
              <w:spacing w:before="100" w:beforeAutospacing="1" w:after="100" w:afterAutospacing="1"/>
              <w:ind w:left="1440" w:hanging="360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C14313" w:rsidRPr="00017D95" w:rsidRDefault="00C14313" w:rsidP="000E747D">
            <w:pPr>
              <w:rPr>
                <w:rFonts w:cs="Arial"/>
                <w:b/>
                <w:sz w:val="22"/>
                <w:szCs w:val="22"/>
                <w:lang w:val="da-DK"/>
              </w:rPr>
            </w:pPr>
          </w:p>
        </w:tc>
      </w:tr>
      <w:tr w:rsidR="00C14313" w:rsidRPr="00A71782" w:rsidTr="000E747D"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C14313" w:rsidRPr="000357D7" w:rsidRDefault="00C14313" w:rsidP="000E747D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Dokumentation for, at porteføljen af forpligtelser og porteføljen af aktiver er adskilt fra øvrige aktiviteter i selskabet jf. bekendtgøre</w:t>
            </w:r>
            <w:r>
              <w:rPr>
                <w:sz w:val="22"/>
                <w:szCs w:val="22"/>
                <w:lang w:val="da-DK"/>
              </w:rPr>
              <w:t>l</w:t>
            </w:r>
            <w:r>
              <w:rPr>
                <w:sz w:val="22"/>
                <w:szCs w:val="22"/>
                <w:lang w:val="da-DK"/>
              </w:rPr>
              <w:t>sens § 2, stk. 1, nr. 3 og 4.</w:t>
            </w:r>
          </w:p>
        </w:tc>
      </w:tr>
      <w:tr w:rsidR="00C14313" w:rsidRPr="001834ED" w:rsidTr="000E747D">
        <w:tc>
          <w:tcPr>
            <w:tcW w:w="7088" w:type="dxa"/>
            <w:tcMar>
              <w:top w:w="57" w:type="dxa"/>
              <w:bottom w:w="57" w:type="dxa"/>
            </w:tcMar>
          </w:tcPr>
          <w:p w:rsidR="00C14313" w:rsidRPr="00017D95" w:rsidRDefault="00C14313" w:rsidP="00C14313">
            <w:pPr>
              <w:pStyle w:val="Listeafsnit"/>
              <w:spacing w:before="100" w:beforeAutospacing="1" w:after="100" w:afterAutospacing="1"/>
              <w:ind w:left="1440" w:hanging="360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C14313" w:rsidRPr="004531C5" w:rsidRDefault="00C14313" w:rsidP="000E747D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</w:tc>
      </w:tr>
      <w:tr w:rsidR="00C14313" w:rsidRPr="00A71782" w:rsidTr="000E747D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C14313" w:rsidRPr="00A71782" w:rsidRDefault="00C14313" w:rsidP="000E747D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Dokumentation for, hvordan selskabet justerer kapitalgrundlaget i henhold til Kommissionens delegerede forordning 2015/35, artikel 81 jf. gennemførselsforordningens artikel 4(c).</w:t>
            </w:r>
          </w:p>
        </w:tc>
      </w:tr>
      <w:tr w:rsidR="00C14313" w:rsidRPr="001834ED" w:rsidTr="000E747D">
        <w:tc>
          <w:tcPr>
            <w:tcW w:w="7088" w:type="dxa"/>
            <w:tcMar>
              <w:top w:w="57" w:type="dxa"/>
              <w:bottom w:w="57" w:type="dxa"/>
            </w:tcMar>
          </w:tcPr>
          <w:p w:rsidR="00C14313" w:rsidRPr="00017D95" w:rsidRDefault="00C14313" w:rsidP="00C14313">
            <w:pPr>
              <w:pStyle w:val="Listeafsnit"/>
              <w:spacing w:before="100" w:beforeAutospacing="1" w:after="100" w:afterAutospacing="1"/>
              <w:ind w:left="1440" w:hanging="360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C14313" w:rsidRPr="00436F1B" w:rsidRDefault="00C14313" w:rsidP="000E747D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</w:tc>
      </w:tr>
      <w:tr w:rsidR="00C14313" w:rsidRPr="00A71782" w:rsidTr="000E747D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C14313" w:rsidRPr="00A71782" w:rsidRDefault="00C14313" w:rsidP="000E747D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Dokumentation for, hvordan selskabet justerer opgørelsen af so</w:t>
            </w:r>
            <w:r>
              <w:rPr>
                <w:sz w:val="22"/>
                <w:szCs w:val="22"/>
                <w:lang w:val="da-DK"/>
              </w:rPr>
              <w:t>l</w:t>
            </w:r>
            <w:r>
              <w:rPr>
                <w:sz w:val="22"/>
                <w:szCs w:val="22"/>
                <w:lang w:val="da-DK"/>
              </w:rPr>
              <w:t>venskapitalkravet i henhold til Kommissionens delegerede foror</w:t>
            </w:r>
            <w:r>
              <w:rPr>
                <w:sz w:val="22"/>
                <w:szCs w:val="22"/>
                <w:lang w:val="da-DK"/>
              </w:rPr>
              <w:t>d</w:t>
            </w:r>
            <w:r>
              <w:rPr>
                <w:sz w:val="22"/>
                <w:szCs w:val="22"/>
                <w:lang w:val="da-DK"/>
              </w:rPr>
              <w:t>ning 2015/35, artikel 216, 217 og 234 jf. gennemførselsforordni</w:t>
            </w:r>
            <w:r>
              <w:rPr>
                <w:sz w:val="22"/>
                <w:szCs w:val="22"/>
                <w:lang w:val="da-DK"/>
              </w:rPr>
              <w:t>n</w:t>
            </w:r>
            <w:r>
              <w:rPr>
                <w:sz w:val="22"/>
                <w:szCs w:val="22"/>
                <w:lang w:val="da-DK"/>
              </w:rPr>
              <w:t>gens artikel 4(d).</w:t>
            </w:r>
          </w:p>
        </w:tc>
      </w:tr>
      <w:tr w:rsidR="00C14313" w:rsidRPr="001834ED" w:rsidTr="000E747D">
        <w:tc>
          <w:tcPr>
            <w:tcW w:w="7088" w:type="dxa"/>
            <w:tcMar>
              <w:top w:w="57" w:type="dxa"/>
              <w:bottom w:w="57" w:type="dxa"/>
            </w:tcMar>
          </w:tcPr>
          <w:p w:rsidR="00C14313" w:rsidRPr="00017D95" w:rsidRDefault="00C14313" w:rsidP="00C14313">
            <w:pPr>
              <w:pStyle w:val="Listeafsnit"/>
              <w:spacing w:before="100" w:beforeAutospacing="1" w:after="100" w:afterAutospacing="1"/>
              <w:ind w:left="1440" w:hanging="360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C14313" w:rsidRPr="00436F1B" w:rsidRDefault="00C14313" w:rsidP="000E747D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</w:tc>
      </w:tr>
    </w:tbl>
    <w:p w:rsidR="00C14313" w:rsidRPr="001834ED" w:rsidRDefault="00C14313" w:rsidP="00C14313">
      <w:pPr>
        <w:spacing w:line="360" w:lineRule="auto"/>
        <w:rPr>
          <w:rFonts w:cs="Arial"/>
          <w:b/>
        </w:rPr>
      </w:pPr>
    </w:p>
    <w:p w:rsidR="00C14313" w:rsidRDefault="00C14313" w:rsidP="00C1431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Yderligere indhold af ansøgningen</w:t>
      </w:r>
    </w:p>
    <w:tbl>
      <w:tblPr>
        <w:tblStyle w:val="Tabel-Gitter"/>
        <w:tblW w:w="7088" w:type="dxa"/>
        <w:tblInd w:w="108" w:type="dxa"/>
        <w:tblLook w:val="04A0" w:firstRow="1" w:lastRow="0" w:firstColumn="1" w:lastColumn="0" w:noHBand="0" w:noVBand="1"/>
      </w:tblPr>
      <w:tblGrid>
        <w:gridCol w:w="7088"/>
      </w:tblGrid>
      <w:tr w:rsidR="00C14313" w:rsidRPr="00DE177D" w:rsidTr="000E747D">
        <w:trPr>
          <w:trHeight w:val="265"/>
        </w:trPr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C14313" w:rsidRPr="00DE177D" w:rsidRDefault="00C14313" w:rsidP="000E747D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Bekræftelse af, at forpligtelserne ikke opgøres med en rentekurve, der indeholder volatilitetsjustering, eller via en justeret rentekurve jf. reglerne i lov om finansiel virksomhed § 126 e, stk. 3 og § 417 a, stk. 1  </w:t>
            </w:r>
          </w:p>
        </w:tc>
      </w:tr>
      <w:tr w:rsidR="00C14313" w:rsidRPr="00017D95" w:rsidTr="000E747D">
        <w:trPr>
          <w:trHeight w:val="441"/>
        </w:trPr>
        <w:tc>
          <w:tcPr>
            <w:tcW w:w="7088" w:type="dxa"/>
            <w:tcMar>
              <w:top w:w="57" w:type="dxa"/>
              <w:bottom w:w="57" w:type="dxa"/>
            </w:tcMar>
          </w:tcPr>
          <w:p w:rsidR="00C14313" w:rsidRPr="00017D95" w:rsidRDefault="00C14313" w:rsidP="00C14313">
            <w:pPr>
              <w:pStyle w:val="Listeafsnit"/>
              <w:spacing w:before="100" w:beforeAutospacing="1" w:after="100" w:afterAutospacing="1"/>
              <w:ind w:left="1440" w:hanging="360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C14313" w:rsidRPr="00017D95" w:rsidRDefault="00C14313" w:rsidP="000E747D">
            <w:pPr>
              <w:rPr>
                <w:rFonts w:cs="Arial"/>
                <w:b/>
                <w:sz w:val="22"/>
                <w:szCs w:val="22"/>
                <w:lang w:val="da-DK"/>
              </w:rPr>
            </w:pPr>
          </w:p>
        </w:tc>
      </w:tr>
      <w:tr w:rsidR="00C14313" w:rsidRPr="00A71782" w:rsidTr="000E747D"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C14313" w:rsidRPr="000357D7" w:rsidRDefault="00C14313" w:rsidP="000E747D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Vurderingerne efter bekendtgørelsens § 2, stk. 5 samt eventuel analyse efter bekendtgørelsens § 2, stk. 6, hvis nedsættelsen af matchtilpasningen til 0 medfører brud på solvenskapitalkravet.</w:t>
            </w:r>
          </w:p>
        </w:tc>
      </w:tr>
      <w:tr w:rsidR="00C14313" w:rsidRPr="001834ED" w:rsidTr="000E747D">
        <w:tc>
          <w:tcPr>
            <w:tcW w:w="7088" w:type="dxa"/>
            <w:tcMar>
              <w:top w:w="57" w:type="dxa"/>
              <w:bottom w:w="57" w:type="dxa"/>
            </w:tcMar>
          </w:tcPr>
          <w:p w:rsidR="00C14313" w:rsidRPr="00017D95" w:rsidRDefault="00C14313" w:rsidP="00C14313">
            <w:pPr>
              <w:pStyle w:val="Listeafsnit"/>
              <w:spacing w:before="100" w:beforeAutospacing="1" w:after="100" w:afterAutospacing="1"/>
              <w:ind w:left="1440" w:hanging="360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C14313" w:rsidRPr="004531C5" w:rsidRDefault="00C14313" w:rsidP="000E747D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</w:tc>
      </w:tr>
      <w:tr w:rsidR="00C14313" w:rsidRPr="00A71782" w:rsidTr="000E747D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C14313" w:rsidRPr="00A71782" w:rsidRDefault="00C14313" w:rsidP="000E747D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Dokumentation for den beregningsproces selskabet følger efter bekendtgørelsens § 3 og Kommissionens delegerede forordning artikel 52-54 jf. gennemførselsforordningens artikel 5(e)</w:t>
            </w:r>
          </w:p>
        </w:tc>
      </w:tr>
      <w:tr w:rsidR="00C14313" w:rsidRPr="001834ED" w:rsidTr="000E747D">
        <w:tc>
          <w:tcPr>
            <w:tcW w:w="7088" w:type="dxa"/>
            <w:tcMar>
              <w:top w:w="57" w:type="dxa"/>
              <w:bottom w:w="57" w:type="dxa"/>
            </w:tcMar>
          </w:tcPr>
          <w:p w:rsidR="00C14313" w:rsidRPr="00017D95" w:rsidRDefault="00C14313" w:rsidP="00C14313">
            <w:pPr>
              <w:pStyle w:val="Listeafsnit"/>
              <w:spacing w:before="100" w:beforeAutospacing="1" w:after="100" w:afterAutospacing="1"/>
              <w:ind w:left="1440" w:hanging="360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C14313" w:rsidRPr="00436F1B" w:rsidRDefault="00C14313" w:rsidP="000E747D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</w:tc>
      </w:tr>
      <w:tr w:rsidR="00C14313" w:rsidRPr="00A71782" w:rsidTr="000E747D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C14313" w:rsidRPr="00A71782" w:rsidRDefault="00C14313" w:rsidP="000E747D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En liste over øvrige ansøgninger </w:t>
            </w:r>
            <w:r w:rsidRPr="000F40C7">
              <w:rPr>
                <w:sz w:val="22"/>
                <w:szCs w:val="22"/>
                <w:lang w:val="da-DK"/>
              </w:rPr>
              <w:t xml:space="preserve">der er indgivet eller inden for de næste seks måneder forventes indgivet af </w:t>
            </w:r>
            <w:r>
              <w:rPr>
                <w:sz w:val="22"/>
                <w:szCs w:val="22"/>
                <w:lang w:val="da-DK"/>
              </w:rPr>
              <w:t>selskabet</w:t>
            </w:r>
            <w:r w:rsidRPr="000F40C7">
              <w:rPr>
                <w:sz w:val="22"/>
                <w:szCs w:val="22"/>
                <w:lang w:val="da-DK"/>
              </w:rPr>
              <w:t xml:space="preserve"> med henblik på godkendelse </w:t>
            </w:r>
            <w:r>
              <w:rPr>
                <w:sz w:val="22"/>
                <w:szCs w:val="22"/>
                <w:lang w:val="da-DK"/>
              </w:rPr>
              <w:t>jf. gennemførselsforordningens artikel 5(f).</w:t>
            </w:r>
          </w:p>
        </w:tc>
      </w:tr>
      <w:tr w:rsidR="00C14313" w:rsidRPr="001834ED" w:rsidTr="000E747D">
        <w:tc>
          <w:tcPr>
            <w:tcW w:w="7088" w:type="dxa"/>
            <w:tcMar>
              <w:top w:w="57" w:type="dxa"/>
              <w:bottom w:w="57" w:type="dxa"/>
            </w:tcMar>
          </w:tcPr>
          <w:p w:rsidR="00C14313" w:rsidRPr="00017D95" w:rsidRDefault="00C14313" w:rsidP="00C14313">
            <w:pPr>
              <w:pStyle w:val="Listeafsnit"/>
              <w:spacing w:before="100" w:beforeAutospacing="1" w:after="100" w:afterAutospacing="1"/>
              <w:ind w:left="1440" w:hanging="360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C14313" w:rsidRPr="00436F1B" w:rsidRDefault="00C14313" w:rsidP="000E747D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</w:tc>
      </w:tr>
      <w:tr w:rsidR="00C14313" w:rsidRPr="00A71782" w:rsidTr="000E747D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C14313" w:rsidRPr="00A71782" w:rsidRDefault="00C14313" w:rsidP="000E747D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Dokumentation for at bestyrelsen har behandlet ansøgningen.</w:t>
            </w:r>
          </w:p>
        </w:tc>
      </w:tr>
      <w:tr w:rsidR="00C14313" w:rsidRPr="001834ED" w:rsidTr="000E747D">
        <w:tc>
          <w:tcPr>
            <w:tcW w:w="7088" w:type="dxa"/>
            <w:tcMar>
              <w:top w:w="57" w:type="dxa"/>
              <w:bottom w:w="57" w:type="dxa"/>
            </w:tcMar>
          </w:tcPr>
          <w:p w:rsidR="00C14313" w:rsidRPr="00017D95" w:rsidRDefault="00C14313" w:rsidP="00C14313">
            <w:pPr>
              <w:pStyle w:val="Listeafsnit"/>
              <w:spacing w:before="100" w:beforeAutospacing="1" w:after="100" w:afterAutospacing="1"/>
              <w:ind w:left="1440" w:hanging="360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C14313" w:rsidRPr="00436F1B" w:rsidRDefault="00C14313" w:rsidP="000E747D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</w:tc>
      </w:tr>
    </w:tbl>
    <w:p w:rsidR="00C14313" w:rsidRDefault="00C14313" w:rsidP="00C14313">
      <w:pPr>
        <w:spacing w:line="360" w:lineRule="auto"/>
        <w:rPr>
          <w:rFonts w:cs="Arial"/>
          <w:b/>
        </w:rPr>
      </w:pPr>
    </w:p>
    <w:p w:rsidR="00C14313" w:rsidRPr="001834ED" w:rsidRDefault="00C14313" w:rsidP="00C14313">
      <w:pPr>
        <w:rPr>
          <w:rFonts w:cs="Arial"/>
        </w:rPr>
      </w:pPr>
    </w:p>
    <w:p w:rsidR="00C14313" w:rsidRDefault="00C14313" w:rsidP="00C14313">
      <w:pPr>
        <w:pStyle w:val="Brdtekst"/>
      </w:pPr>
      <w:r w:rsidRPr="00781CBD">
        <w:rPr>
          <w:b/>
        </w:rPr>
        <w:t>Kontaktperson</w:t>
      </w:r>
      <w:r>
        <w:t xml:space="preserve">: Jens Henrik Laursen, </w:t>
      </w:r>
      <w:hyperlink r:id="rId9" w:history="1">
        <w:r w:rsidRPr="00D221D6">
          <w:rPr>
            <w:rStyle w:val="Hyperlink"/>
          </w:rPr>
          <w:t>jhl@ftnet.dk</w:t>
        </w:r>
      </w:hyperlink>
      <w:r>
        <w:t>, tlf.: 33 55 83 98</w:t>
      </w:r>
    </w:p>
    <w:p w:rsidR="00C14313" w:rsidRDefault="00C14313" w:rsidP="00C14313">
      <w:pPr>
        <w:pStyle w:val="Brdtekst"/>
      </w:pPr>
    </w:p>
    <w:p w:rsidR="00C14313" w:rsidRDefault="00C14313" w:rsidP="00C14313">
      <w:pPr>
        <w:pStyle w:val="Brdtekst"/>
      </w:pPr>
    </w:p>
    <w:p w:rsidR="00331EDD" w:rsidRDefault="00331EDD" w:rsidP="00C14313">
      <w:pPr>
        <w:pStyle w:val="Overskrift1"/>
      </w:pPr>
    </w:p>
    <w:sectPr w:rsidR="00331EDD" w:rsidSect="007767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25" w:right="3686" w:bottom="1276" w:left="1106" w:header="624" w:footer="567" w:gutter="0"/>
      <w:paperSrc w:first="11" w:other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28" w:rsidRDefault="004C3628">
      <w:pPr>
        <w:spacing w:line="240" w:lineRule="auto"/>
      </w:pPr>
      <w:r>
        <w:separator/>
      </w:r>
    </w:p>
  </w:endnote>
  <w:endnote w:type="continuationSeparator" w:id="0">
    <w:p w:rsidR="004C3628" w:rsidRDefault="004C3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EB" w:rsidRDefault="002F39E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EB" w:rsidRDefault="002F39E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EB" w:rsidRDefault="002F39E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28" w:rsidRDefault="004C3628">
      <w:pPr>
        <w:spacing w:line="240" w:lineRule="auto"/>
      </w:pPr>
      <w:r>
        <w:separator/>
      </w:r>
    </w:p>
  </w:footnote>
  <w:footnote w:type="continuationSeparator" w:id="0">
    <w:p w:rsidR="004C3628" w:rsidRDefault="004C3628">
      <w:pPr>
        <w:spacing w:line="240" w:lineRule="auto"/>
      </w:pPr>
      <w:r>
        <w:continuationSeparator/>
      </w:r>
    </w:p>
  </w:footnote>
  <w:footnote w:id="1">
    <w:p w:rsidR="00C14313" w:rsidRDefault="00C14313" w:rsidP="00C14313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143523">
          <w:rPr>
            <w:rStyle w:val="Hyperlink"/>
          </w:rPr>
          <w:t>http://eur-lex.europa.eu/legal-content/DA/TXT/PDF/?uri=CELEX:32015R0500&amp;from=EN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EB" w:rsidRDefault="002F39E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D" w:rsidRPr="002F39EB" w:rsidRDefault="00163A8D" w:rsidP="002F39E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D" w:rsidRDefault="00CD5C1F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FF593B2" wp14:editId="4B2FE45D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349">
      <w:rPr>
        <w:noProof/>
      </w:rPr>
      <w:drawing>
        <wp:anchor distT="0" distB="0" distL="114300" distR="114300" simplePos="0" relativeHeight="251657728" behindDoc="0" locked="1" layoutInCell="0" allowOverlap="1" wp14:anchorId="6B7ECD7F" wp14:editId="7A9E6E61">
          <wp:simplePos x="0" y="0"/>
          <wp:positionH relativeFrom="margin">
            <wp:posOffset>-9525</wp:posOffset>
          </wp:positionH>
          <wp:positionV relativeFrom="page">
            <wp:posOffset>1503045</wp:posOffset>
          </wp:positionV>
          <wp:extent cx="638175" cy="114300"/>
          <wp:effectExtent l="19050" t="0" r="9525" b="0"/>
          <wp:wrapTopAndBottom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C9E"/>
    <w:multiLevelType w:val="multilevel"/>
    <w:tmpl w:val="B4443E96"/>
    <w:lvl w:ilvl="0">
      <w:start w:val="1"/>
      <w:numFmt w:val="decimal"/>
      <w:pStyle w:val="Underoverskrift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3C7D2F"/>
    <w:multiLevelType w:val="hybridMultilevel"/>
    <w:tmpl w:val="7B14156E"/>
    <w:lvl w:ilvl="0" w:tplc="91284876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2C0E20"/>
    <w:multiLevelType w:val="hybridMultilevel"/>
    <w:tmpl w:val="DE68F320"/>
    <w:lvl w:ilvl="0" w:tplc="A1ACD74E">
      <w:start w:val="1"/>
      <w:numFmt w:val="lowerLetter"/>
      <w:pStyle w:val="ListeBogstav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87A84"/>
    <w:multiLevelType w:val="hybridMultilevel"/>
    <w:tmpl w:val="BBB49F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53794"/>
    <w:multiLevelType w:val="hybridMultilevel"/>
    <w:tmpl w:val="308E1D24"/>
    <w:lvl w:ilvl="0" w:tplc="3E0CC88A">
      <w:start w:val="1"/>
      <w:numFmt w:val="decimal"/>
      <w:pStyle w:val="ListeT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C456E55"/>
    <w:multiLevelType w:val="hybridMultilevel"/>
    <w:tmpl w:val="651EC290"/>
    <w:lvl w:ilvl="0" w:tplc="B88C61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Initialer" w:val="Empty"/>
    <w:docVar w:name="Kontor" w:val="Empty"/>
    <w:docVar w:name="PCAdato" w:val="Empty"/>
    <w:docVar w:name="PCAmodtager" w:val="Empty"/>
    <w:docVar w:name="PCAoverskrift" w:val="Empty"/>
    <w:docVar w:name="PCASag" w:val="Empty"/>
    <w:docVar w:name="PCAStart" w:val="Empty"/>
  </w:docVars>
  <w:rsids>
    <w:rsidRoot w:val="004C3628"/>
    <w:rsid w:val="0002744C"/>
    <w:rsid w:val="000A3975"/>
    <w:rsid w:val="000C0183"/>
    <w:rsid w:val="000C13A3"/>
    <w:rsid w:val="00120388"/>
    <w:rsid w:val="00163A8D"/>
    <w:rsid w:val="001E4A6B"/>
    <w:rsid w:val="00230D73"/>
    <w:rsid w:val="00251333"/>
    <w:rsid w:val="00260676"/>
    <w:rsid w:val="002779D0"/>
    <w:rsid w:val="002A499B"/>
    <w:rsid w:val="002B53DA"/>
    <w:rsid w:val="002B5736"/>
    <w:rsid w:val="002E6F9A"/>
    <w:rsid w:val="002F13A8"/>
    <w:rsid w:val="002F39EB"/>
    <w:rsid w:val="00305117"/>
    <w:rsid w:val="00331EDD"/>
    <w:rsid w:val="003E3B9B"/>
    <w:rsid w:val="003E4349"/>
    <w:rsid w:val="00416FE0"/>
    <w:rsid w:val="0044286B"/>
    <w:rsid w:val="004C3628"/>
    <w:rsid w:val="00504138"/>
    <w:rsid w:val="005439BC"/>
    <w:rsid w:val="00586C74"/>
    <w:rsid w:val="0063728A"/>
    <w:rsid w:val="006724DD"/>
    <w:rsid w:val="006C3314"/>
    <w:rsid w:val="006C7261"/>
    <w:rsid w:val="006F510B"/>
    <w:rsid w:val="00700253"/>
    <w:rsid w:val="00703E18"/>
    <w:rsid w:val="007767A3"/>
    <w:rsid w:val="00781CBD"/>
    <w:rsid w:val="007E5F37"/>
    <w:rsid w:val="00904F2B"/>
    <w:rsid w:val="00907B69"/>
    <w:rsid w:val="00911391"/>
    <w:rsid w:val="009C70F7"/>
    <w:rsid w:val="00A30B33"/>
    <w:rsid w:val="00AA185B"/>
    <w:rsid w:val="00B23B9D"/>
    <w:rsid w:val="00B57A46"/>
    <w:rsid w:val="00BA2345"/>
    <w:rsid w:val="00BF501F"/>
    <w:rsid w:val="00C12726"/>
    <w:rsid w:val="00C14313"/>
    <w:rsid w:val="00C23C17"/>
    <w:rsid w:val="00C5465E"/>
    <w:rsid w:val="00CD5C1F"/>
    <w:rsid w:val="00CF4780"/>
    <w:rsid w:val="00DB1666"/>
    <w:rsid w:val="00E2456A"/>
    <w:rsid w:val="00E34E1B"/>
    <w:rsid w:val="00E44B59"/>
    <w:rsid w:val="00EC3FFA"/>
    <w:rsid w:val="00F924F2"/>
    <w:rsid w:val="00F962EE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6A"/>
    <w:pPr>
      <w:spacing w:line="280" w:lineRule="exact"/>
      <w:jc w:val="both"/>
    </w:pPr>
    <w:rPr>
      <w:rFonts w:ascii="Arial" w:hAnsi="Arial"/>
      <w:sz w:val="21"/>
    </w:rPr>
  </w:style>
  <w:style w:type="paragraph" w:styleId="Overskrift1">
    <w:name w:val="heading 1"/>
    <w:basedOn w:val="Normal"/>
    <w:next w:val="Brdtekst"/>
    <w:qFormat/>
    <w:rsid w:val="00907B69"/>
    <w:pPr>
      <w:keepNext/>
      <w:spacing w:line="480" w:lineRule="exact"/>
      <w:outlineLvl w:val="0"/>
    </w:pPr>
    <w:rPr>
      <w:rFonts w:ascii="Constantia" w:hAnsi="Constantia"/>
      <w:b/>
      <w:color w:val="990000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86C74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E44B59"/>
    <w:pPr>
      <w:framePr w:w="2268" w:h="7370" w:hSpace="141" w:wrap="around" w:hAnchor="page" w:x="9270" w:anchorLock="1"/>
    </w:pPr>
    <w:rPr>
      <w:sz w:val="15"/>
    </w:rPr>
  </w:style>
  <w:style w:type="paragraph" w:customStyle="1" w:styleId="diverse">
    <w:name w:val="diverse"/>
    <w:basedOn w:val="Normal"/>
    <w:rsid w:val="00E44B59"/>
    <w:rPr>
      <w:sz w:val="18"/>
    </w:rPr>
  </w:style>
  <w:style w:type="character" w:styleId="Sidetal">
    <w:name w:val="page number"/>
    <w:basedOn w:val="Standardskrifttypeiafsnit"/>
    <w:rsid w:val="00E44B59"/>
  </w:style>
  <w:style w:type="paragraph" w:customStyle="1" w:styleId="datomv">
    <w:name w:val="datomv"/>
    <w:basedOn w:val="skakt"/>
    <w:rsid w:val="00E44B59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E44B5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rsid w:val="00E44B59"/>
  </w:style>
  <w:style w:type="paragraph" w:styleId="Sidefod">
    <w:name w:val="footer"/>
    <w:basedOn w:val="Normal"/>
    <w:rsid w:val="00331EDD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Enhed">
    <w:name w:val="Enhed"/>
    <w:basedOn w:val="Normal"/>
    <w:rsid w:val="00E44B59"/>
    <w:pPr>
      <w:framePr w:h="454" w:hRule="exact" w:wrap="around" w:vAnchor="page" w:hAnchor="page" w:x="9186" w:y="1702"/>
    </w:pPr>
    <w:rPr>
      <w:b/>
      <w:caps/>
      <w:sz w:val="15"/>
    </w:rPr>
  </w:style>
  <w:style w:type="paragraph" w:styleId="Brdtekst">
    <w:name w:val="Body Text"/>
    <w:basedOn w:val="Normal"/>
    <w:rsid w:val="00CF47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86C74"/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link w:val="ListeafsnitTegn"/>
    <w:uiPriority w:val="34"/>
    <w:qFormat/>
    <w:rsid w:val="00586C74"/>
    <w:pPr>
      <w:numPr>
        <w:numId w:val="3"/>
      </w:numPr>
      <w:ind w:left="426" w:hanging="426"/>
      <w:contextualSpacing/>
    </w:pPr>
  </w:style>
  <w:style w:type="paragraph" w:customStyle="1" w:styleId="Underoverskrift">
    <w:name w:val="Underoverskrift"/>
    <w:basedOn w:val="Overskrift2"/>
    <w:next w:val="Normal"/>
    <w:qFormat/>
    <w:rsid w:val="00586C74"/>
    <w:pPr>
      <w:numPr>
        <w:numId w:val="6"/>
      </w:numPr>
    </w:pPr>
  </w:style>
  <w:style w:type="paragraph" w:customStyle="1" w:styleId="ListeTal">
    <w:name w:val="ListeTal"/>
    <w:basedOn w:val="Listeafsnit"/>
    <w:uiPriority w:val="1"/>
    <w:qFormat/>
    <w:rsid w:val="00586C74"/>
    <w:pPr>
      <w:numPr>
        <w:numId w:val="5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586C74"/>
    <w:pPr>
      <w:numPr>
        <w:numId w:val="4"/>
      </w:numPr>
      <w:ind w:left="426" w:hanging="426"/>
    </w:pPr>
  </w:style>
  <w:style w:type="paragraph" w:styleId="Fodnotetekst">
    <w:name w:val="footnote text"/>
    <w:basedOn w:val="Normal"/>
    <w:link w:val="FodnotetekstTegn"/>
    <w:uiPriority w:val="2"/>
    <w:qFormat/>
    <w:rsid w:val="00E2456A"/>
    <w:pPr>
      <w:spacing w:line="36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E2456A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456A"/>
    <w:rPr>
      <w:vertAlign w:val="superscript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4C3628"/>
    <w:rPr>
      <w:rFonts w:ascii="Arial" w:hAnsi="Arial"/>
      <w:sz w:val="21"/>
    </w:rPr>
  </w:style>
  <w:style w:type="table" w:styleId="Tabel-Gitter">
    <w:name w:val="Table Grid"/>
    <w:basedOn w:val="Tabel-Normal"/>
    <w:uiPriority w:val="59"/>
    <w:rsid w:val="004C3628"/>
    <w:rPr>
      <w:rFonts w:ascii="Calibri" w:hAnsi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Heading">
    <w:name w:val="Bullet Heading"/>
    <w:basedOn w:val="Listeafsnit"/>
    <w:link w:val="BulletHeadingChar"/>
    <w:qFormat/>
    <w:rsid w:val="004C3628"/>
    <w:pPr>
      <w:numPr>
        <w:numId w:val="0"/>
      </w:numPr>
      <w:spacing w:line="240" w:lineRule="auto"/>
      <w:ind w:left="720" w:hanging="360"/>
      <w:jc w:val="left"/>
      <w:outlineLvl w:val="1"/>
    </w:pPr>
    <w:rPr>
      <w:rFonts w:cs="Arial"/>
      <w:b/>
      <w:color w:val="2F2F2F"/>
      <w:sz w:val="20"/>
      <w:lang w:val="en-GB" w:eastAsia="en-US"/>
    </w:rPr>
  </w:style>
  <w:style w:type="character" w:customStyle="1" w:styleId="BulletHeadingChar">
    <w:name w:val="Bullet Heading Char"/>
    <w:basedOn w:val="Standardskrifttypeiafsnit"/>
    <w:link w:val="BulletHeading"/>
    <w:rsid w:val="004C3628"/>
    <w:rPr>
      <w:rFonts w:ascii="Arial" w:hAnsi="Arial" w:cs="Arial"/>
      <w:b/>
      <w:color w:val="2F2F2F"/>
      <w:lang w:val="en-GB" w:eastAsia="en-US"/>
    </w:rPr>
  </w:style>
  <w:style w:type="character" w:styleId="Hyperlink">
    <w:name w:val="Hyperlink"/>
    <w:basedOn w:val="Standardskrifttypeiafsnit"/>
    <w:uiPriority w:val="99"/>
    <w:unhideWhenUsed/>
    <w:rsid w:val="00781CBD"/>
    <w:rPr>
      <w:color w:val="99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6A"/>
    <w:pPr>
      <w:spacing w:line="280" w:lineRule="exact"/>
      <w:jc w:val="both"/>
    </w:pPr>
    <w:rPr>
      <w:rFonts w:ascii="Arial" w:hAnsi="Arial"/>
      <w:sz w:val="21"/>
    </w:rPr>
  </w:style>
  <w:style w:type="paragraph" w:styleId="Overskrift1">
    <w:name w:val="heading 1"/>
    <w:basedOn w:val="Normal"/>
    <w:next w:val="Brdtekst"/>
    <w:qFormat/>
    <w:rsid w:val="00907B69"/>
    <w:pPr>
      <w:keepNext/>
      <w:spacing w:line="480" w:lineRule="exact"/>
      <w:outlineLvl w:val="0"/>
    </w:pPr>
    <w:rPr>
      <w:rFonts w:ascii="Constantia" w:hAnsi="Constantia"/>
      <w:b/>
      <w:color w:val="990000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86C74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E44B59"/>
    <w:pPr>
      <w:framePr w:w="2268" w:h="7370" w:hSpace="141" w:wrap="around" w:hAnchor="page" w:x="9270" w:anchorLock="1"/>
    </w:pPr>
    <w:rPr>
      <w:sz w:val="15"/>
    </w:rPr>
  </w:style>
  <w:style w:type="paragraph" w:customStyle="1" w:styleId="diverse">
    <w:name w:val="diverse"/>
    <w:basedOn w:val="Normal"/>
    <w:rsid w:val="00E44B59"/>
    <w:rPr>
      <w:sz w:val="18"/>
    </w:rPr>
  </w:style>
  <w:style w:type="character" w:styleId="Sidetal">
    <w:name w:val="page number"/>
    <w:basedOn w:val="Standardskrifttypeiafsnit"/>
    <w:rsid w:val="00E44B59"/>
  </w:style>
  <w:style w:type="paragraph" w:customStyle="1" w:styleId="datomv">
    <w:name w:val="datomv"/>
    <w:basedOn w:val="skakt"/>
    <w:rsid w:val="00E44B59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E44B5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rsid w:val="00E44B59"/>
  </w:style>
  <w:style w:type="paragraph" w:styleId="Sidefod">
    <w:name w:val="footer"/>
    <w:basedOn w:val="Normal"/>
    <w:rsid w:val="00331EDD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Enhed">
    <w:name w:val="Enhed"/>
    <w:basedOn w:val="Normal"/>
    <w:rsid w:val="00E44B59"/>
    <w:pPr>
      <w:framePr w:h="454" w:hRule="exact" w:wrap="around" w:vAnchor="page" w:hAnchor="page" w:x="9186" w:y="1702"/>
    </w:pPr>
    <w:rPr>
      <w:b/>
      <w:caps/>
      <w:sz w:val="15"/>
    </w:rPr>
  </w:style>
  <w:style w:type="paragraph" w:styleId="Brdtekst">
    <w:name w:val="Body Text"/>
    <w:basedOn w:val="Normal"/>
    <w:rsid w:val="00CF47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86C74"/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link w:val="ListeafsnitTegn"/>
    <w:uiPriority w:val="34"/>
    <w:qFormat/>
    <w:rsid w:val="00586C74"/>
    <w:pPr>
      <w:numPr>
        <w:numId w:val="3"/>
      </w:numPr>
      <w:ind w:left="426" w:hanging="426"/>
      <w:contextualSpacing/>
    </w:pPr>
  </w:style>
  <w:style w:type="paragraph" w:customStyle="1" w:styleId="Underoverskrift">
    <w:name w:val="Underoverskrift"/>
    <w:basedOn w:val="Overskrift2"/>
    <w:next w:val="Normal"/>
    <w:qFormat/>
    <w:rsid w:val="00586C74"/>
    <w:pPr>
      <w:numPr>
        <w:numId w:val="6"/>
      </w:numPr>
    </w:pPr>
  </w:style>
  <w:style w:type="paragraph" w:customStyle="1" w:styleId="ListeTal">
    <w:name w:val="ListeTal"/>
    <w:basedOn w:val="Listeafsnit"/>
    <w:uiPriority w:val="1"/>
    <w:qFormat/>
    <w:rsid w:val="00586C74"/>
    <w:pPr>
      <w:numPr>
        <w:numId w:val="5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586C74"/>
    <w:pPr>
      <w:numPr>
        <w:numId w:val="4"/>
      </w:numPr>
      <w:ind w:left="426" w:hanging="426"/>
    </w:pPr>
  </w:style>
  <w:style w:type="paragraph" w:styleId="Fodnotetekst">
    <w:name w:val="footnote text"/>
    <w:basedOn w:val="Normal"/>
    <w:link w:val="FodnotetekstTegn"/>
    <w:uiPriority w:val="2"/>
    <w:qFormat/>
    <w:rsid w:val="00E2456A"/>
    <w:pPr>
      <w:spacing w:line="36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E2456A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456A"/>
    <w:rPr>
      <w:vertAlign w:val="superscript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4C3628"/>
    <w:rPr>
      <w:rFonts w:ascii="Arial" w:hAnsi="Arial"/>
      <w:sz w:val="21"/>
    </w:rPr>
  </w:style>
  <w:style w:type="table" w:styleId="Tabel-Gitter">
    <w:name w:val="Table Grid"/>
    <w:basedOn w:val="Tabel-Normal"/>
    <w:uiPriority w:val="59"/>
    <w:rsid w:val="004C3628"/>
    <w:rPr>
      <w:rFonts w:ascii="Calibri" w:hAnsi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Heading">
    <w:name w:val="Bullet Heading"/>
    <w:basedOn w:val="Listeafsnit"/>
    <w:link w:val="BulletHeadingChar"/>
    <w:qFormat/>
    <w:rsid w:val="004C3628"/>
    <w:pPr>
      <w:numPr>
        <w:numId w:val="0"/>
      </w:numPr>
      <w:spacing w:line="240" w:lineRule="auto"/>
      <w:ind w:left="720" w:hanging="360"/>
      <w:jc w:val="left"/>
      <w:outlineLvl w:val="1"/>
    </w:pPr>
    <w:rPr>
      <w:rFonts w:cs="Arial"/>
      <w:b/>
      <w:color w:val="2F2F2F"/>
      <w:sz w:val="20"/>
      <w:lang w:val="en-GB" w:eastAsia="en-US"/>
    </w:rPr>
  </w:style>
  <w:style w:type="character" w:customStyle="1" w:styleId="BulletHeadingChar">
    <w:name w:val="Bullet Heading Char"/>
    <w:basedOn w:val="Standardskrifttypeiafsnit"/>
    <w:link w:val="BulletHeading"/>
    <w:rsid w:val="004C3628"/>
    <w:rPr>
      <w:rFonts w:ascii="Arial" w:hAnsi="Arial" w:cs="Arial"/>
      <w:b/>
      <w:color w:val="2F2F2F"/>
      <w:lang w:val="en-GB" w:eastAsia="en-US"/>
    </w:rPr>
  </w:style>
  <w:style w:type="character" w:styleId="Hyperlink">
    <w:name w:val="Hyperlink"/>
    <w:basedOn w:val="Standardskrifttypeiafsnit"/>
    <w:uiPriority w:val="99"/>
    <w:unhideWhenUsed/>
    <w:rsid w:val="00781CBD"/>
    <w:rPr>
      <w:color w:val="99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hl@ftnet.dk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DA/TXT/PDF/?uri=CELEX:32015R0500&amp;from=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667D-AD90-4216-8579-4EF1D708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2015-10-14T13:56:00Z</dcterms:created>
  <dcterms:modified xsi:type="dcterms:W3CDTF">2015-10-14T13:57:00Z</dcterms:modified>
</cp:coreProperties>
</file>