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163A8D" w:rsidRPr="00B06930" w:rsidTr="004D0CAF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:rsidR="0041234D" w:rsidRDefault="005265C7" w:rsidP="000D37C4">
            <w:pPr>
              <w:framePr w:h="8505" w:hRule="exact" w:hSpace="142" w:wrap="around" w:vAnchor="text" w:hAnchor="page" w:x="8754" w:y="91" w:anchorLock="1"/>
              <w:spacing w:line="220" w:lineRule="exact"/>
              <w:rPr>
                <w:rFonts w:ascii="Arial Black" w:hAnsi="Arial Black"/>
                <w:sz w:val="13"/>
                <w:szCs w:val="13"/>
                <w:lang w:val="en-GB"/>
              </w:rPr>
            </w:pPr>
            <w:r w:rsidRPr="00FF61A8">
              <w:rPr>
                <w:rFonts w:ascii="Arial Black" w:hAnsi="Arial Black"/>
                <w:sz w:val="13"/>
                <w:szCs w:val="13"/>
                <w:lang w:val="en-GB"/>
              </w:rPr>
              <w:t>DANISH FINANCIAL</w:t>
            </w:r>
          </w:p>
          <w:p w:rsidR="006C7261" w:rsidRDefault="005265C7" w:rsidP="00C72A6D">
            <w:pPr>
              <w:framePr w:h="8505" w:hRule="exact" w:hSpace="142" w:wrap="around" w:vAnchor="text" w:hAnchor="page" w:x="8754" w:y="91" w:anchorLock="1"/>
              <w:spacing w:line="220" w:lineRule="exact"/>
              <w:rPr>
                <w:rFonts w:ascii="Arial Black" w:hAnsi="Arial Black"/>
                <w:sz w:val="13"/>
                <w:szCs w:val="13"/>
                <w:lang w:val="en-GB"/>
              </w:rPr>
            </w:pPr>
            <w:r w:rsidRPr="00FF61A8">
              <w:rPr>
                <w:rFonts w:ascii="Arial Black" w:hAnsi="Arial Black"/>
                <w:sz w:val="13"/>
                <w:szCs w:val="13"/>
                <w:lang w:val="en-GB"/>
              </w:rPr>
              <w:t>SUPERVISORY AUTHORITY</w:t>
            </w:r>
            <w:bookmarkStart w:id="0" w:name="PCAdato"/>
            <w:bookmarkEnd w:id="0"/>
          </w:p>
          <w:p w:rsidR="00C72A6D" w:rsidRDefault="00C72A6D" w:rsidP="00C72A6D">
            <w:pPr>
              <w:framePr w:h="8505" w:hRule="exact" w:hSpace="142" w:wrap="around" w:vAnchor="text" w:hAnchor="page" w:x="8754" w:y="91" w:anchorLock="1"/>
              <w:spacing w:line="220" w:lineRule="exact"/>
              <w:rPr>
                <w:rFonts w:ascii="Arial Black" w:hAnsi="Arial Black"/>
                <w:sz w:val="13"/>
                <w:szCs w:val="13"/>
                <w:lang w:val="en-GB"/>
              </w:rPr>
            </w:pPr>
          </w:p>
          <w:p w:rsidR="00C72A6D" w:rsidRPr="00C72A6D" w:rsidRDefault="00C72A6D" w:rsidP="00C72A6D">
            <w:pPr>
              <w:framePr w:h="8505" w:hRule="exact" w:hSpace="142" w:wrap="around" w:vAnchor="text" w:hAnchor="page" w:x="8754" w:y="91" w:anchorLock="1"/>
              <w:spacing w:line="220" w:lineRule="exact"/>
              <w:rPr>
                <w:sz w:val="16"/>
                <w:szCs w:val="16"/>
                <w:lang w:val="en-GB"/>
              </w:rPr>
            </w:pPr>
          </w:p>
          <w:p w:rsidR="00163A8D" w:rsidRPr="00B06930" w:rsidRDefault="000D18BD" w:rsidP="000D37C4">
            <w:pPr>
              <w:pStyle w:val="skakt"/>
              <w:keepNext/>
              <w:keepLines/>
              <w:framePr w:w="0" w:h="8505" w:hRule="exact" w:hSpace="142" w:wrap="around" w:vAnchor="text" w:x="8754" w:y="91"/>
              <w:rPr>
                <w:sz w:val="16"/>
                <w:lang w:val="en-GB"/>
              </w:rPr>
            </w:pPr>
            <w:bookmarkStart w:id="1" w:name="Kontor"/>
            <w:bookmarkEnd w:id="1"/>
            <w:r>
              <w:rPr>
                <w:sz w:val="16"/>
                <w:lang w:val="en-GB"/>
              </w:rPr>
              <w:t>12</w:t>
            </w:r>
            <w:r w:rsidR="002C16DD">
              <w:rPr>
                <w:sz w:val="16"/>
                <w:lang w:val="en-GB"/>
              </w:rPr>
              <w:t xml:space="preserve"> Ju</w:t>
            </w:r>
            <w:r>
              <w:rPr>
                <w:sz w:val="16"/>
                <w:lang w:val="en-GB"/>
              </w:rPr>
              <w:t>ly</w:t>
            </w:r>
            <w:r w:rsidR="002C16DD">
              <w:rPr>
                <w:sz w:val="16"/>
                <w:lang w:val="en-GB"/>
              </w:rPr>
              <w:t xml:space="preserve"> 201</w:t>
            </w:r>
            <w:r w:rsidR="00A900E6">
              <w:rPr>
                <w:sz w:val="16"/>
                <w:lang w:val="en-GB"/>
              </w:rPr>
              <w:t>8</w:t>
            </w:r>
          </w:p>
          <w:p w:rsidR="00163A8D" w:rsidRPr="005D7A0F" w:rsidRDefault="005265C7" w:rsidP="000D37C4">
            <w:pPr>
              <w:pStyle w:val="skakt"/>
              <w:keepNext/>
              <w:keepLines/>
              <w:framePr w:w="0" w:h="8505" w:hRule="exact" w:hSpace="142" w:wrap="around" w:vAnchor="text" w:x="8754" w:y="91"/>
              <w:rPr>
                <w:sz w:val="16"/>
                <w:lang w:val="en-GB"/>
              </w:rPr>
            </w:pPr>
            <w:r w:rsidRPr="005D7A0F">
              <w:rPr>
                <w:sz w:val="16"/>
                <w:lang w:val="en-GB"/>
              </w:rPr>
              <w:t>J.no</w:t>
            </w:r>
            <w:r w:rsidR="006C7261" w:rsidRPr="005D7A0F">
              <w:rPr>
                <w:sz w:val="16"/>
                <w:lang w:val="en-GB"/>
              </w:rPr>
              <w:t>.</w:t>
            </w:r>
            <w:bookmarkStart w:id="2" w:name="PCASag"/>
            <w:bookmarkEnd w:id="2"/>
            <w:r w:rsidR="004C385E" w:rsidRPr="005D7A0F">
              <w:rPr>
                <w:sz w:val="16"/>
                <w:lang w:val="en-GB"/>
              </w:rPr>
              <w:t>520-0003</w:t>
            </w:r>
          </w:p>
          <w:p w:rsidR="00C5465E" w:rsidRPr="00B06930" w:rsidRDefault="000B235E" w:rsidP="000D37C4">
            <w:pPr>
              <w:pStyle w:val="skakt"/>
              <w:keepNext/>
              <w:keepLines/>
              <w:framePr w:w="0" w:h="8505" w:hRule="exact" w:hSpace="142" w:wrap="around" w:vAnchor="text" w:x="8754" w:y="91"/>
              <w:rPr>
                <w:sz w:val="16"/>
                <w:lang w:val="en-GB"/>
              </w:rPr>
            </w:pPr>
            <w:bookmarkStart w:id="3" w:name="Initialer"/>
            <w:r>
              <w:rPr>
                <w:sz w:val="16"/>
                <w:lang w:val="en-GB"/>
              </w:rPr>
              <w:t>/</w:t>
            </w:r>
            <w:bookmarkEnd w:id="3"/>
            <w:r w:rsidR="00A900E6">
              <w:rPr>
                <w:sz w:val="16"/>
                <w:lang w:val="en-GB"/>
              </w:rPr>
              <w:t>CVO &amp; NAJ</w:t>
            </w:r>
          </w:p>
          <w:p w:rsidR="00163A8D" w:rsidRPr="00B06930" w:rsidRDefault="00163A8D" w:rsidP="000D37C4">
            <w:pPr>
              <w:pStyle w:val="skakt"/>
              <w:keepNext/>
              <w:keepLines/>
              <w:framePr w:w="0" w:h="8505" w:hRule="exact" w:hSpace="142" w:wrap="around" w:vAnchor="text" w:x="8754" w:y="91"/>
              <w:rPr>
                <w:lang w:val="en-GB"/>
              </w:rPr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163A8D" w:rsidRPr="00B06930">
        <w:trPr>
          <w:cantSplit/>
          <w:trHeight w:val="2040"/>
        </w:trPr>
        <w:tc>
          <w:tcPr>
            <w:tcW w:w="7258" w:type="dxa"/>
          </w:tcPr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  <w:bookmarkStart w:id="4" w:name="PCAmodtager"/>
            <w:bookmarkEnd w:id="4"/>
          </w:p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</w:p>
          <w:p w:rsidR="00163A8D" w:rsidRPr="00B06930" w:rsidRDefault="00163A8D">
            <w:pPr>
              <w:rPr>
                <w:lang w:val="en-GB"/>
              </w:rPr>
            </w:pPr>
          </w:p>
        </w:tc>
      </w:tr>
    </w:tbl>
    <w:p w:rsidR="00163A8D" w:rsidRPr="00B06930" w:rsidRDefault="00163A8D" w:rsidP="00774179">
      <w:pPr>
        <w:rPr>
          <w:lang w:val="en-GB"/>
        </w:rPr>
      </w:pPr>
    </w:p>
    <w:p w:rsidR="00163A8D" w:rsidRPr="00271A23" w:rsidRDefault="000B235E" w:rsidP="000E5781">
      <w:pPr>
        <w:pStyle w:val="Overskrift1"/>
        <w:rPr>
          <w:lang w:val="en-US"/>
        </w:rPr>
      </w:pPr>
      <w:bookmarkStart w:id="5" w:name="PCAoverskrift"/>
      <w:bookmarkStart w:id="6" w:name="PEmne"/>
      <w:bookmarkEnd w:id="5"/>
      <w:r w:rsidRPr="00271A23">
        <w:rPr>
          <w:lang w:val="en-US"/>
        </w:rPr>
        <w:t xml:space="preserve">Compliance with EBA/GL/2014/10 regarding other systemically important institutions </w:t>
      </w:r>
      <w:bookmarkEnd w:id="6"/>
    </w:p>
    <w:p w:rsidR="00163A8D" w:rsidRPr="00B06930" w:rsidRDefault="00163A8D" w:rsidP="00774179">
      <w:pPr>
        <w:rPr>
          <w:lang w:val="en-GB"/>
        </w:rPr>
      </w:pPr>
    </w:p>
    <w:p w:rsidR="000B235E" w:rsidRPr="007E3D0C" w:rsidRDefault="000B235E" w:rsidP="000B235E">
      <w:pPr>
        <w:pStyle w:val="Brdtekst"/>
        <w:rPr>
          <w:lang w:val="en-US"/>
        </w:rPr>
      </w:pPr>
      <w:bookmarkStart w:id="7" w:name="PCAStart"/>
      <w:bookmarkEnd w:id="7"/>
      <w:r w:rsidRPr="003347AD">
        <w:rPr>
          <w:lang w:val="en-US"/>
        </w:rPr>
        <w:t>SIFIs in Denmar</w:t>
      </w:r>
      <w:r>
        <w:rPr>
          <w:lang w:val="en-US"/>
        </w:rPr>
        <w:t>k are designated</w:t>
      </w:r>
      <w:r w:rsidRPr="003347AD">
        <w:rPr>
          <w:lang w:val="en-US"/>
        </w:rPr>
        <w:t xml:space="preserve"> with legal basis in § 308 in the Danish </w:t>
      </w:r>
      <w:r>
        <w:rPr>
          <w:lang w:val="en-US"/>
        </w:rPr>
        <w:t xml:space="preserve">Financial </w:t>
      </w:r>
      <w:r w:rsidRPr="003347AD">
        <w:rPr>
          <w:lang w:val="en-US"/>
        </w:rPr>
        <w:t>Business Act</w:t>
      </w:r>
      <w:r w:rsidR="00927952">
        <w:rPr>
          <w:lang w:val="en-US"/>
        </w:rPr>
        <w:t>.</w:t>
      </w:r>
    </w:p>
    <w:p w:rsidR="000B235E" w:rsidRPr="007E3D0C" w:rsidRDefault="000B235E" w:rsidP="000B235E">
      <w:pPr>
        <w:pStyle w:val="Brdtekst"/>
        <w:rPr>
          <w:lang w:val="en-US"/>
        </w:rPr>
      </w:pPr>
    </w:p>
    <w:p w:rsidR="000B235E" w:rsidRPr="00635950" w:rsidRDefault="000B235E" w:rsidP="000B235E">
      <w:pPr>
        <w:pStyle w:val="Brdtekst"/>
        <w:rPr>
          <w:highlight w:val="yellow"/>
          <w:lang w:val="en-US"/>
        </w:rPr>
      </w:pPr>
      <w:r w:rsidRPr="00654BF1">
        <w:rPr>
          <w:lang w:val="en-US"/>
        </w:rPr>
        <w:t xml:space="preserve">Furthermore, the European Banking Authority, EBA, has issued a guideline </w:t>
      </w:r>
      <w:hyperlink r:id="rId8" w:history="1">
        <w:r w:rsidR="008C4C65" w:rsidRPr="008C4C65">
          <w:rPr>
            <w:rStyle w:val="Hyperlink"/>
            <w:lang w:val="en-US"/>
          </w:rPr>
          <w:t>EBA/GL/2014/10</w:t>
        </w:r>
      </w:hyperlink>
      <w:r w:rsidRPr="00654BF1">
        <w:rPr>
          <w:lang w:val="en-US"/>
        </w:rPr>
        <w:t xml:space="preserve"> on the identification of ’other systemically important institutions’.</w:t>
      </w:r>
      <w:r>
        <w:rPr>
          <w:lang w:val="en-US"/>
        </w:rPr>
        <w:t xml:space="preserve"> By designating SIFIs according to </w:t>
      </w:r>
      <w:r w:rsidRPr="00654BF1">
        <w:rPr>
          <w:lang w:val="en-US"/>
        </w:rPr>
        <w:t xml:space="preserve">§ 308 in the Danish </w:t>
      </w:r>
      <w:r>
        <w:rPr>
          <w:lang w:val="en-US"/>
        </w:rPr>
        <w:t xml:space="preserve">Financial </w:t>
      </w:r>
      <w:r w:rsidRPr="00654BF1">
        <w:rPr>
          <w:lang w:val="en-US"/>
        </w:rPr>
        <w:t>Business Act</w:t>
      </w:r>
      <w:r>
        <w:rPr>
          <w:lang w:val="en-US"/>
        </w:rPr>
        <w:t xml:space="preserve">, </w:t>
      </w:r>
      <w:r w:rsidRPr="00654BF1">
        <w:rPr>
          <w:lang w:val="en-US"/>
        </w:rPr>
        <w:t xml:space="preserve">Denmark </w:t>
      </w:r>
      <w:r>
        <w:rPr>
          <w:lang w:val="en-US"/>
        </w:rPr>
        <w:t>complies with</w:t>
      </w:r>
      <w:r w:rsidRPr="00654BF1">
        <w:rPr>
          <w:lang w:val="en-US"/>
        </w:rPr>
        <w:t xml:space="preserve"> the guideline</w:t>
      </w:r>
      <w:r>
        <w:rPr>
          <w:lang w:val="en-US"/>
        </w:rPr>
        <w:t>.</w:t>
      </w:r>
      <w:r w:rsidRPr="00654BF1">
        <w:rPr>
          <w:lang w:val="en-US"/>
        </w:rPr>
        <w:t xml:space="preserve"> </w:t>
      </w:r>
    </w:p>
    <w:p w:rsidR="000B235E" w:rsidRPr="00635950" w:rsidRDefault="000B235E" w:rsidP="000B235E">
      <w:pPr>
        <w:pStyle w:val="Brdtekst"/>
        <w:rPr>
          <w:highlight w:val="yellow"/>
          <w:lang w:val="en-US"/>
        </w:rPr>
      </w:pPr>
    </w:p>
    <w:p w:rsidR="000B235E" w:rsidRPr="00F62237" w:rsidRDefault="000B235E" w:rsidP="000B235E">
      <w:pPr>
        <w:pStyle w:val="Brdtekst"/>
        <w:rPr>
          <w:lang w:val="en-US"/>
        </w:rPr>
      </w:pPr>
      <w:r w:rsidRPr="00F62237">
        <w:rPr>
          <w:lang w:val="en-US"/>
        </w:rPr>
        <w:t xml:space="preserve">According to the guideline, </w:t>
      </w:r>
      <w:r>
        <w:rPr>
          <w:lang w:val="en-US"/>
        </w:rPr>
        <w:t>an institution</w:t>
      </w:r>
      <w:r w:rsidRPr="00F62237">
        <w:rPr>
          <w:lang w:val="en-US"/>
        </w:rPr>
        <w:t xml:space="preserve"> with an automatic score of 350 basis</w:t>
      </w:r>
      <w:r>
        <w:rPr>
          <w:lang w:val="en-US"/>
        </w:rPr>
        <w:t xml:space="preserve"> </w:t>
      </w:r>
      <w:r w:rsidRPr="00F62237">
        <w:rPr>
          <w:lang w:val="en-US"/>
        </w:rPr>
        <w:t>points</w:t>
      </w:r>
      <w:r>
        <w:rPr>
          <w:lang w:val="en-US"/>
        </w:rPr>
        <w:t xml:space="preserve"> or higher</w:t>
      </w:r>
      <w:r w:rsidRPr="00F62237">
        <w:rPr>
          <w:lang w:val="en-US"/>
        </w:rPr>
        <w:t xml:space="preserve">, </w:t>
      </w:r>
      <w:r>
        <w:rPr>
          <w:lang w:val="en-US"/>
        </w:rPr>
        <w:t>should</w:t>
      </w:r>
      <w:r w:rsidRPr="00F62237">
        <w:rPr>
          <w:lang w:val="en-US"/>
        </w:rPr>
        <w:t xml:space="preserve"> be identified as SIFI. The guideline provides the possibility of using further optional indicators taking national conditions into account. The following three optional indicators are used in Denmark </w:t>
      </w:r>
      <w:r>
        <w:rPr>
          <w:lang w:val="en-US"/>
        </w:rPr>
        <w:t>for the designation</w:t>
      </w:r>
      <w:r w:rsidRPr="00F62237">
        <w:rPr>
          <w:lang w:val="en-US"/>
        </w:rPr>
        <w:t xml:space="preserve"> of SIFIs:</w:t>
      </w:r>
    </w:p>
    <w:p w:rsidR="000B235E" w:rsidRPr="00F62237" w:rsidRDefault="000B235E" w:rsidP="000B235E">
      <w:pPr>
        <w:pStyle w:val="Brdtekst"/>
        <w:rPr>
          <w:lang w:val="en-US"/>
        </w:rPr>
      </w:pPr>
      <w:r w:rsidRPr="00F62237">
        <w:rPr>
          <w:lang w:val="en-US"/>
        </w:rPr>
        <w:t xml:space="preserve"> </w:t>
      </w:r>
    </w:p>
    <w:p w:rsidR="000B235E" w:rsidRPr="00F62237" w:rsidRDefault="000B235E" w:rsidP="000B235E">
      <w:pPr>
        <w:pStyle w:val="Brdtekst"/>
        <w:numPr>
          <w:ilvl w:val="0"/>
          <w:numId w:val="6"/>
        </w:numPr>
        <w:rPr>
          <w:lang w:val="en-US"/>
        </w:rPr>
      </w:pPr>
      <w:r w:rsidRPr="00F62237">
        <w:rPr>
          <w:lang w:val="en-US"/>
        </w:rPr>
        <w:t>The institution’s balance amounts to more than 6.</w:t>
      </w:r>
      <w:r>
        <w:rPr>
          <w:lang w:val="en-US"/>
        </w:rPr>
        <w:t>5 per cent</w:t>
      </w:r>
      <w:r w:rsidRPr="00F62237">
        <w:rPr>
          <w:lang w:val="en-US"/>
        </w:rPr>
        <w:t xml:space="preserve"> of the GDP of Denmark</w:t>
      </w:r>
    </w:p>
    <w:p w:rsidR="000B235E" w:rsidRPr="00F62237" w:rsidRDefault="000B235E" w:rsidP="000B235E">
      <w:pPr>
        <w:pStyle w:val="Brdtekst"/>
        <w:numPr>
          <w:ilvl w:val="0"/>
          <w:numId w:val="6"/>
        </w:numPr>
        <w:rPr>
          <w:lang w:val="en-US"/>
        </w:rPr>
      </w:pPr>
      <w:r w:rsidRPr="00F62237">
        <w:rPr>
          <w:lang w:val="en-US"/>
        </w:rPr>
        <w:t>The institution’s</w:t>
      </w:r>
      <w:r>
        <w:rPr>
          <w:lang w:val="en-US"/>
        </w:rPr>
        <w:t xml:space="preserve"> loans</w:t>
      </w:r>
      <w:r w:rsidRPr="00F62237">
        <w:rPr>
          <w:lang w:val="en-US"/>
        </w:rPr>
        <w:t xml:space="preserve"> in Denmark amounts to more than</w:t>
      </w:r>
      <w:r>
        <w:rPr>
          <w:lang w:val="en-US"/>
        </w:rPr>
        <w:t xml:space="preserve"> 5 per cent</w:t>
      </w:r>
      <w:r w:rsidRPr="00F62237">
        <w:rPr>
          <w:lang w:val="en-US"/>
        </w:rPr>
        <w:t xml:space="preserve"> of the Danish credit institutions’</w:t>
      </w:r>
      <w:r>
        <w:rPr>
          <w:lang w:val="en-US"/>
        </w:rPr>
        <w:t xml:space="preserve"> total loans</w:t>
      </w:r>
      <w:r w:rsidRPr="00F62237">
        <w:rPr>
          <w:lang w:val="en-US"/>
        </w:rPr>
        <w:t xml:space="preserve"> in Denmark</w:t>
      </w:r>
    </w:p>
    <w:p w:rsidR="000B235E" w:rsidRPr="00F62237" w:rsidRDefault="000B235E" w:rsidP="000B235E">
      <w:pPr>
        <w:pStyle w:val="Brdtekst"/>
        <w:numPr>
          <w:ilvl w:val="0"/>
          <w:numId w:val="6"/>
        </w:numPr>
        <w:rPr>
          <w:lang w:val="en-US"/>
        </w:rPr>
      </w:pPr>
      <w:r w:rsidRPr="00F62237">
        <w:rPr>
          <w:lang w:val="en-US"/>
        </w:rPr>
        <w:t>The institution’s deposits in Den</w:t>
      </w:r>
      <w:r>
        <w:rPr>
          <w:lang w:val="en-US"/>
        </w:rPr>
        <w:t>mark amounts to more than 5 per cent</w:t>
      </w:r>
      <w:r w:rsidRPr="00F62237">
        <w:rPr>
          <w:lang w:val="en-US"/>
        </w:rPr>
        <w:t xml:space="preserve"> of the Danish credit institutions’ total deposits in Denmark</w:t>
      </w:r>
    </w:p>
    <w:p w:rsidR="000B235E" w:rsidRPr="00F62237" w:rsidRDefault="000B235E" w:rsidP="000B235E">
      <w:pPr>
        <w:pStyle w:val="Brdtekst"/>
        <w:ind w:left="720"/>
        <w:rPr>
          <w:highlight w:val="yellow"/>
          <w:lang w:val="en-US"/>
        </w:rPr>
      </w:pPr>
    </w:p>
    <w:p w:rsidR="000B235E" w:rsidRPr="00F62237" w:rsidRDefault="000B235E" w:rsidP="000B235E">
      <w:pPr>
        <w:pStyle w:val="Brdtekst"/>
        <w:rPr>
          <w:lang w:val="en-US"/>
        </w:rPr>
      </w:pPr>
      <w:r w:rsidRPr="00F62237">
        <w:rPr>
          <w:lang w:val="en-US"/>
        </w:rPr>
        <w:t xml:space="preserve">The result is that the following institutions are </w:t>
      </w:r>
      <w:r>
        <w:rPr>
          <w:lang w:val="en-US"/>
        </w:rPr>
        <w:t>designated</w:t>
      </w:r>
      <w:r w:rsidRPr="00F62237">
        <w:rPr>
          <w:lang w:val="en-US"/>
        </w:rPr>
        <w:t xml:space="preserve"> as SIFIs:</w:t>
      </w:r>
    </w:p>
    <w:p w:rsidR="000B235E" w:rsidRDefault="000B235E" w:rsidP="000B235E">
      <w:pPr>
        <w:spacing w:line="240" w:lineRule="auto"/>
        <w:jc w:val="left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:rsidR="000B235E" w:rsidRPr="00F62237" w:rsidRDefault="000B235E" w:rsidP="000B235E">
      <w:pPr>
        <w:pStyle w:val="Brdtekst"/>
        <w:rPr>
          <w:highlight w:val="yellow"/>
          <w:lang w:val="en-US"/>
        </w:rPr>
      </w:pPr>
    </w:p>
    <w:p w:rsidR="000B235E" w:rsidRPr="00437245" w:rsidRDefault="000B235E" w:rsidP="000B235E">
      <w:pPr>
        <w:pStyle w:val="Brdtekst"/>
        <w:rPr>
          <w:b/>
        </w:rPr>
      </w:pPr>
      <w:proofErr w:type="spellStart"/>
      <w:r w:rsidRPr="00437245">
        <w:rPr>
          <w:b/>
        </w:rPr>
        <w:t>Table</w:t>
      </w:r>
      <w:proofErr w:type="spellEnd"/>
      <w:r w:rsidRPr="00437245">
        <w:rPr>
          <w:b/>
        </w:rPr>
        <w:t xml:space="preserve"> 1. </w:t>
      </w:r>
      <w:proofErr w:type="spellStart"/>
      <w:r w:rsidRPr="00437245">
        <w:rPr>
          <w:b/>
        </w:rPr>
        <w:t>SIFIs</w:t>
      </w:r>
      <w:proofErr w:type="spellEnd"/>
      <w:r w:rsidRPr="00437245">
        <w:rPr>
          <w:b/>
        </w:rPr>
        <w:t xml:space="preserve"> in Denmark</w:t>
      </w:r>
    </w:p>
    <w:tbl>
      <w:tblPr>
        <w:tblStyle w:val="Lysskygge"/>
        <w:tblW w:w="8472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843"/>
        <w:gridCol w:w="1814"/>
      </w:tblGrid>
      <w:tr w:rsidR="000B235E" w:rsidRPr="000D18BD" w:rsidTr="00510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B235E" w:rsidRPr="00437245" w:rsidRDefault="000B235E" w:rsidP="00DD53D9">
            <w:pPr>
              <w:pStyle w:val="Brdtekst"/>
            </w:pPr>
            <w:r w:rsidRPr="00437245">
              <w:t>SIFI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235E" w:rsidRPr="00437245" w:rsidRDefault="000B235E" w:rsidP="00DD53D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7245">
              <w:t>Automatic score</w:t>
            </w:r>
          </w:p>
          <w:p w:rsidR="000B235E" w:rsidRPr="00437245" w:rsidRDefault="000B235E" w:rsidP="00DD53D9">
            <w:pPr>
              <w:pStyle w:val="Brdtek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7245">
              <w:t>&gt;</w:t>
            </w:r>
            <w:r>
              <w:t xml:space="preserve"> </w:t>
            </w:r>
            <w:r w:rsidRPr="00437245">
              <w:t xml:space="preserve">350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35E" w:rsidRPr="00437245" w:rsidRDefault="000B235E" w:rsidP="00DD53D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7245">
              <w:t>Balance as % of GDP</w:t>
            </w:r>
            <w:r>
              <w:t xml:space="preserve"> </w:t>
            </w:r>
            <w:r w:rsidRPr="00437245">
              <w:t>&gt;6.5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B235E" w:rsidRPr="00437245" w:rsidRDefault="000B235E" w:rsidP="00DD53D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37245">
              <w:rPr>
                <w:lang w:val="en-US"/>
              </w:rPr>
              <w:t>Loans as % of the sector’s loans &gt;5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B235E" w:rsidRPr="00437245" w:rsidRDefault="000B235E" w:rsidP="00DD53D9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37245">
              <w:rPr>
                <w:lang w:val="en-US"/>
              </w:rPr>
              <w:t xml:space="preserve">Deposits as % of </w:t>
            </w:r>
            <w:r>
              <w:rPr>
                <w:lang w:val="en-US"/>
              </w:rPr>
              <w:t xml:space="preserve">the </w:t>
            </w:r>
            <w:r w:rsidRPr="00437245">
              <w:rPr>
                <w:lang w:val="en-US"/>
              </w:rPr>
              <w:t>sector</w:t>
            </w:r>
            <w:r>
              <w:rPr>
                <w:lang w:val="en-US"/>
              </w:rPr>
              <w:t>’s</w:t>
            </w:r>
            <w:r w:rsidRPr="00437245">
              <w:rPr>
                <w:lang w:val="en-US"/>
              </w:rPr>
              <w:t xml:space="preserve"> deposits &gt;5</w:t>
            </w:r>
          </w:p>
        </w:tc>
      </w:tr>
      <w:tr w:rsidR="00A97384" w:rsidRPr="00437245" w:rsidTr="0051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</w:pPr>
            <w:r>
              <w:t>Danske Bank A/S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F93448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  <w:r w:rsidR="007A5B96">
              <w:rPr>
                <w:b/>
              </w:rPr>
              <w:t>,</w:t>
            </w:r>
            <w:r>
              <w:rPr>
                <w:b/>
              </w:rPr>
              <w:t>39</w:t>
            </w:r>
            <w:r w:rsidR="00F93448">
              <w:rPr>
                <w:b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148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A97384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7A5B96">
              <w:rPr>
                <w:b/>
              </w:rPr>
              <w:t>8.</w:t>
            </w:r>
            <w:r>
              <w:rPr>
                <w:b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</w:tr>
      <w:tr w:rsidR="00A97384" w:rsidRPr="00437245" w:rsidTr="00510B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</w:pPr>
            <w:r>
              <w:t>Nykredit Realkredit A/S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7A5B96">
              <w:rPr>
                <w:b/>
              </w:rPr>
              <w:t>,</w:t>
            </w:r>
            <w:r>
              <w:rPr>
                <w:b/>
              </w:rPr>
              <w:t>401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66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562D4A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D4A">
              <w:t>4</w:t>
            </w:r>
            <w:r w:rsidR="007A5B96">
              <w:t>.</w:t>
            </w:r>
            <w:r w:rsidRPr="00562D4A">
              <w:t>7</w:t>
            </w:r>
          </w:p>
        </w:tc>
      </w:tr>
      <w:tr w:rsidR="00A97384" w:rsidRPr="00437245" w:rsidTr="0051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387280" w:rsidRDefault="00A97384" w:rsidP="00A97384">
            <w:pPr>
              <w:pStyle w:val="Brdtekst"/>
              <w:rPr>
                <w:lang w:val="en-US"/>
              </w:rPr>
            </w:pPr>
            <w:proofErr w:type="spellStart"/>
            <w:r w:rsidRPr="00387280">
              <w:rPr>
                <w:lang w:val="en-US"/>
              </w:rPr>
              <w:t>Nordea</w:t>
            </w:r>
            <w:proofErr w:type="spellEnd"/>
            <w:r w:rsidRPr="0038728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Kredit </w:t>
            </w:r>
            <w:proofErr w:type="spellStart"/>
            <w:r>
              <w:rPr>
                <w:lang w:val="en-US"/>
              </w:rPr>
              <w:t>Realkreditaktieselskab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A97384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52A8">
              <w:rPr>
                <w:b/>
              </w:rPr>
              <w:t>37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562D4A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D4A">
              <w:t>0</w:t>
            </w:r>
            <w:r w:rsidR="007A5B96">
              <w:t>.</w:t>
            </w:r>
            <w:r w:rsidRPr="00562D4A">
              <w:t>0</w:t>
            </w:r>
          </w:p>
        </w:tc>
      </w:tr>
      <w:tr w:rsidR="00A97384" w:rsidRPr="00437245" w:rsidTr="00510B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</w:pPr>
            <w:r>
              <w:t>Jyske Bank A/S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A97384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</w:tr>
      <w:tr w:rsidR="00A97384" w:rsidRPr="00437245" w:rsidTr="00510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</w:pPr>
            <w:r>
              <w:t>Sydbank A/S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562D4A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D4A">
              <w:t>6</w:t>
            </w:r>
            <w:r w:rsidR="007A5B96">
              <w:t>.</w:t>
            </w:r>
            <w:r w:rsidRPr="00562D4A"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5B96">
              <w:t>.</w:t>
            </w:r>
            <w:r>
              <w:t>7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</w:tr>
      <w:tr w:rsidR="00A97384" w:rsidRPr="009E4E8C" w:rsidTr="00510B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</w:pPr>
            <w:r>
              <w:t>DLR Kredit A/S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97384" w:rsidRDefault="00A97384" w:rsidP="00A97384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97384" w:rsidRPr="006E20E9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  <w:r w:rsidR="007A5B96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97384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7A5B96">
              <w:t>.</w:t>
            </w:r>
            <w: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97384" w:rsidRDefault="00A97384" w:rsidP="007A5B9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7A5B96">
              <w:t>.</w:t>
            </w:r>
            <w:r>
              <w:t>0</w:t>
            </w:r>
          </w:p>
        </w:tc>
      </w:tr>
    </w:tbl>
    <w:p w:rsidR="000B235E" w:rsidRPr="008530B5" w:rsidRDefault="000B235E" w:rsidP="000B235E">
      <w:pPr>
        <w:pStyle w:val="Brdtekst"/>
        <w:rPr>
          <w:lang w:val="en-US"/>
        </w:rPr>
      </w:pPr>
      <w:r w:rsidRPr="008530B5">
        <w:rPr>
          <w:sz w:val="16"/>
          <w:szCs w:val="16"/>
          <w:lang w:val="en-US"/>
        </w:rPr>
        <w:t>Note</w:t>
      </w:r>
      <w:r w:rsidR="004B106D">
        <w:rPr>
          <w:sz w:val="16"/>
          <w:szCs w:val="16"/>
          <w:lang w:val="en-US"/>
        </w:rPr>
        <w:t xml:space="preserve"> 1</w:t>
      </w:r>
      <w:r w:rsidRPr="008530B5">
        <w:rPr>
          <w:sz w:val="16"/>
          <w:szCs w:val="16"/>
          <w:lang w:val="en-US"/>
        </w:rPr>
        <w:t>: Values in bold indicate that the institution is above the threshold value</w:t>
      </w:r>
      <w:r w:rsidRPr="008530B5">
        <w:rPr>
          <w:lang w:val="en-US"/>
        </w:rPr>
        <w:t>.</w:t>
      </w:r>
    </w:p>
    <w:p w:rsidR="000B235E" w:rsidRPr="004B106D" w:rsidRDefault="004B106D" w:rsidP="000B235E">
      <w:pPr>
        <w:pStyle w:val="Brdteks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 2: The assessment of the optional indicators is defined by the </w:t>
      </w:r>
      <w:r w:rsidR="009E7A99">
        <w:rPr>
          <w:sz w:val="16"/>
          <w:szCs w:val="16"/>
          <w:lang w:val="en-US"/>
        </w:rPr>
        <w:t>executive order on the assessment of indicators and factors for the identificatio</w:t>
      </w:r>
      <w:bookmarkStart w:id="8" w:name="_GoBack"/>
      <w:bookmarkEnd w:id="8"/>
      <w:r w:rsidR="009E7A99">
        <w:rPr>
          <w:sz w:val="16"/>
          <w:szCs w:val="16"/>
          <w:lang w:val="en-US"/>
        </w:rPr>
        <w:t xml:space="preserve">n of </w:t>
      </w:r>
      <w:r w:rsidR="009E7A99" w:rsidRPr="009E7A99">
        <w:rPr>
          <w:sz w:val="16"/>
          <w:szCs w:val="16"/>
          <w:lang w:val="en-US"/>
        </w:rPr>
        <w:t>systemically important financial institutions</w:t>
      </w:r>
      <w:r w:rsidR="009E7A99">
        <w:rPr>
          <w:sz w:val="16"/>
          <w:szCs w:val="16"/>
          <w:lang w:val="en-US"/>
        </w:rPr>
        <w:t xml:space="preserve"> etc., which has been updated in order to include significant branches of foreign credit institutions in the calculations.  </w:t>
      </w:r>
    </w:p>
    <w:p w:rsidR="004B106D" w:rsidRDefault="004B106D" w:rsidP="000B235E">
      <w:pPr>
        <w:pStyle w:val="Brdtekst"/>
        <w:rPr>
          <w:lang w:val="en-US"/>
        </w:rPr>
      </w:pPr>
    </w:p>
    <w:p w:rsidR="000B235E" w:rsidRPr="008530B5" w:rsidRDefault="000B235E" w:rsidP="000B235E">
      <w:pPr>
        <w:pStyle w:val="Brdtekst"/>
        <w:rPr>
          <w:lang w:val="en-US"/>
        </w:rPr>
      </w:pPr>
      <w:r>
        <w:rPr>
          <w:lang w:val="en-US"/>
        </w:rPr>
        <w:t>The table above shows that the identification of SIFIs in Denmark is consistent with the EBA guideline.</w:t>
      </w:r>
    </w:p>
    <w:p w:rsidR="00163A8D" w:rsidRPr="00B06930" w:rsidRDefault="00163A8D" w:rsidP="00774179">
      <w:pPr>
        <w:rPr>
          <w:lang w:val="en-GB"/>
        </w:rPr>
      </w:pPr>
    </w:p>
    <w:p w:rsidR="00163A8D" w:rsidRDefault="00163A8D" w:rsidP="00774179">
      <w:pPr>
        <w:rPr>
          <w:lang w:val="en-GB"/>
        </w:rPr>
      </w:pPr>
    </w:p>
    <w:p w:rsidR="00E56243" w:rsidRDefault="00E56243" w:rsidP="00774179">
      <w:pPr>
        <w:rPr>
          <w:lang w:val="en-GB"/>
        </w:rPr>
      </w:pPr>
    </w:p>
    <w:p w:rsidR="00E56243" w:rsidRPr="00271A23" w:rsidRDefault="00E56243" w:rsidP="008C295B">
      <w:pPr>
        <w:rPr>
          <w:lang w:val="en-US"/>
        </w:rPr>
      </w:pPr>
    </w:p>
    <w:sectPr w:rsidR="00E56243" w:rsidRPr="00271A23" w:rsidSect="005265C7">
      <w:headerReference w:type="default" r:id="rId9"/>
      <w:headerReference w:type="first" r:id="rId10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5E" w:rsidRDefault="000B235E">
      <w:pPr>
        <w:spacing w:line="240" w:lineRule="auto"/>
      </w:pPr>
      <w:r>
        <w:separator/>
      </w:r>
    </w:p>
  </w:endnote>
  <w:endnote w:type="continuationSeparator" w:id="0">
    <w:p w:rsidR="000B235E" w:rsidRDefault="000B2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5E" w:rsidRDefault="000B235E">
      <w:pPr>
        <w:spacing w:line="240" w:lineRule="auto"/>
      </w:pPr>
      <w:r>
        <w:separator/>
      </w:r>
    </w:p>
  </w:footnote>
  <w:footnote w:type="continuationSeparator" w:id="0">
    <w:p w:rsidR="000B235E" w:rsidRDefault="000B2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43" w:rsidRDefault="009C43E1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E56243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93448">
      <w:rPr>
        <w:rStyle w:val="Sidetal"/>
        <w:noProof/>
      </w:rPr>
      <w:t>2</w:t>
    </w:r>
    <w:r>
      <w:rPr>
        <w:rStyle w:val="Sidetal"/>
      </w:rPr>
      <w:fldChar w:fldCharType="end"/>
    </w:r>
    <w:r w:rsidR="00E56243">
      <w:rPr>
        <w:rStyle w:val="Sidetal"/>
      </w:rPr>
      <w:t>/</w:t>
    </w:r>
    <w:r>
      <w:rPr>
        <w:rStyle w:val="Sidetal"/>
      </w:rPr>
      <w:fldChar w:fldCharType="begin"/>
    </w:r>
    <w:r w:rsidR="00E56243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F93448">
      <w:rPr>
        <w:rStyle w:val="Sidetal"/>
        <w:noProof/>
      </w:rPr>
      <w:t>2</w:t>
    </w:r>
    <w:r>
      <w:rPr>
        <w:rStyle w:val="Sidetal"/>
      </w:rPr>
      <w:fldChar w:fldCharType="end"/>
    </w:r>
  </w:p>
  <w:p w:rsidR="00E56243" w:rsidRDefault="00E56243">
    <w:pPr>
      <w:framePr w:w="1531" w:h="851" w:wrap="around" w:vAnchor="page" w:hAnchor="page" w:x="9186" w:y="721"/>
    </w:pPr>
  </w:p>
  <w:p w:rsidR="00E56243" w:rsidRDefault="00E56243">
    <w:pPr>
      <w:framePr w:w="1531" w:h="851" w:wrap="around" w:vAnchor="page" w:hAnchor="page" w:x="9186" w:y="721"/>
    </w:pPr>
  </w:p>
  <w:p w:rsidR="00E56243" w:rsidRDefault="00E562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43" w:rsidRDefault="00E56243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6243" w:rsidRDefault="00E56243">
    <w:pPr>
      <w:pStyle w:val="Sidehoved"/>
    </w:pPr>
  </w:p>
  <w:p w:rsidR="00E56243" w:rsidRDefault="00E56243">
    <w:pPr>
      <w:pStyle w:val="Sidehoved"/>
      <w:rPr>
        <w:rFonts w:ascii="Arial Black" w:hAnsi="Arial Black"/>
      </w:rPr>
    </w:pPr>
  </w:p>
  <w:p w:rsidR="00E56243" w:rsidRDefault="00E56243">
    <w:pPr>
      <w:pStyle w:val="Sidehoved"/>
      <w:rPr>
        <w:rFonts w:ascii="Arial Black" w:hAnsi="Arial Black"/>
      </w:rPr>
    </w:pPr>
  </w:p>
  <w:p w:rsidR="00E56243" w:rsidRDefault="00E56243">
    <w:pPr>
      <w:pStyle w:val="Sidehoved"/>
      <w:rPr>
        <w:rFonts w:ascii="Arial Black" w:hAnsi="Arial Black"/>
      </w:rPr>
    </w:pPr>
  </w:p>
  <w:p w:rsidR="00E56243" w:rsidRPr="00B06930" w:rsidRDefault="004C385E">
    <w:pPr>
      <w:pStyle w:val="Sidehoved"/>
      <w:rPr>
        <w:rFonts w:ascii="Arial Black" w:hAnsi="Arial Black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135890</wp:posOffset>
              </wp:positionV>
              <wp:extent cx="4116705" cy="365760"/>
              <wp:effectExtent l="0" t="254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7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243" w:rsidRPr="008E2879" w:rsidRDefault="00E56243" w:rsidP="0090281B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44"/>
                              <w:sz w:val="20"/>
                            </w:rPr>
                          </w:pPr>
                          <w:r w:rsidRPr="008E2879">
                            <w:rPr>
                              <w:rFonts w:ascii="Arial Black" w:hAnsi="Arial Black"/>
                              <w:spacing w:val="44"/>
                              <w:sz w:val="20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6pt;margin-top:10.7pt;width:324.1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N7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" filled="f" stroked="f">
              <v:textbox>
                <w:txbxContent>
                  <w:p w:rsidR="00E56243" w:rsidRPr="008E2879" w:rsidRDefault="00E56243" w:rsidP="0090281B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44"/>
                        <w:sz w:val="20"/>
                      </w:rPr>
                    </w:pPr>
                    <w:r w:rsidRPr="008E2879">
                      <w:rPr>
                        <w:rFonts w:ascii="Arial Black" w:hAnsi="Arial Black"/>
                        <w:spacing w:val="44"/>
                        <w:sz w:val="20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177"/>
    <w:multiLevelType w:val="hybridMultilevel"/>
    <w:tmpl w:val="BBF43872"/>
    <w:lvl w:ilvl="0" w:tplc="B5FC1E0C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71DB1"/>
    <w:multiLevelType w:val="hybridMultilevel"/>
    <w:tmpl w:val="0A20ABD6"/>
    <w:lvl w:ilvl="0" w:tplc="BDDE75FE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F1209"/>
    <w:multiLevelType w:val="multilevel"/>
    <w:tmpl w:val="3E107536"/>
    <w:lvl w:ilvl="0">
      <w:start w:val="1"/>
      <w:numFmt w:val="decimal"/>
      <w:pStyle w:val="Underoverskrif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1F5A77"/>
    <w:multiLevelType w:val="hybridMultilevel"/>
    <w:tmpl w:val="743C8488"/>
    <w:lvl w:ilvl="0" w:tplc="F3F6E2C6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4574C"/>
    <w:multiLevelType w:val="hybridMultilevel"/>
    <w:tmpl w:val="6FFA52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Initialer" w:val="Empty"/>
    <w:docVar w:name="Kontor" w:val="Empty"/>
    <w:docVar w:name="PCAdato" w:val="Empty"/>
    <w:docVar w:name="PCAmodtager" w:val="Empty"/>
    <w:docVar w:name="PCAoverskrift" w:val="Empty"/>
    <w:docVar w:name="PCASag" w:val="Empty"/>
    <w:docVar w:name="PCAStart" w:val="Empty"/>
  </w:docVars>
  <w:rsids>
    <w:rsidRoot w:val="000B235E"/>
    <w:rsid w:val="0001500B"/>
    <w:rsid w:val="00085495"/>
    <w:rsid w:val="000B235E"/>
    <w:rsid w:val="000D18BD"/>
    <w:rsid w:val="000D37C4"/>
    <w:rsid w:val="000E2E15"/>
    <w:rsid w:val="000E5781"/>
    <w:rsid w:val="0011335C"/>
    <w:rsid w:val="00117072"/>
    <w:rsid w:val="00156299"/>
    <w:rsid w:val="00163A8D"/>
    <w:rsid w:val="00177B50"/>
    <w:rsid w:val="00230D73"/>
    <w:rsid w:val="00237ADB"/>
    <w:rsid w:val="00271A23"/>
    <w:rsid w:val="002A499B"/>
    <w:rsid w:val="002C16DD"/>
    <w:rsid w:val="002C5F88"/>
    <w:rsid w:val="003463D2"/>
    <w:rsid w:val="00384880"/>
    <w:rsid w:val="0041234D"/>
    <w:rsid w:val="00413B66"/>
    <w:rsid w:val="0046299B"/>
    <w:rsid w:val="00463097"/>
    <w:rsid w:val="004B106D"/>
    <w:rsid w:val="004C385E"/>
    <w:rsid w:val="004D0CAF"/>
    <w:rsid w:val="004E1553"/>
    <w:rsid w:val="00510B3E"/>
    <w:rsid w:val="005265C7"/>
    <w:rsid w:val="005439BC"/>
    <w:rsid w:val="005455C8"/>
    <w:rsid w:val="005B58DC"/>
    <w:rsid w:val="005D7A0F"/>
    <w:rsid w:val="005F7364"/>
    <w:rsid w:val="0063728A"/>
    <w:rsid w:val="006A1DD3"/>
    <w:rsid w:val="006A3903"/>
    <w:rsid w:val="006C7261"/>
    <w:rsid w:val="00774179"/>
    <w:rsid w:val="007A2772"/>
    <w:rsid w:val="007A5B96"/>
    <w:rsid w:val="007E6425"/>
    <w:rsid w:val="007E6507"/>
    <w:rsid w:val="007F51D2"/>
    <w:rsid w:val="00822851"/>
    <w:rsid w:val="00847C43"/>
    <w:rsid w:val="008C295B"/>
    <w:rsid w:val="008C4C65"/>
    <w:rsid w:val="008C5299"/>
    <w:rsid w:val="008D7B2E"/>
    <w:rsid w:val="008E2879"/>
    <w:rsid w:val="008F0359"/>
    <w:rsid w:val="0090281B"/>
    <w:rsid w:val="00911391"/>
    <w:rsid w:val="00927952"/>
    <w:rsid w:val="009433CE"/>
    <w:rsid w:val="00983206"/>
    <w:rsid w:val="009C43E1"/>
    <w:rsid w:val="009E7A99"/>
    <w:rsid w:val="00A2685E"/>
    <w:rsid w:val="00A900E6"/>
    <w:rsid w:val="00A97384"/>
    <w:rsid w:val="00AE62EB"/>
    <w:rsid w:val="00AF3FC3"/>
    <w:rsid w:val="00B06930"/>
    <w:rsid w:val="00B23B9D"/>
    <w:rsid w:val="00C379C6"/>
    <w:rsid w:val="00C42115"/>
    <w:rsid w:val="00C5465E"/>
    <w:rsid w:val="00C72A6D"/>
    <w:rsid w:val="00D755B4"/>
    <w:rsid w:val="00DA3952"/>
    <w:rsid w:val="00DF6C0D"/>
    <w:rsid w:val="00E56243"/>
    <w:rsid w:val="00EA5BD3"/>
    <w:rsid w:val="00EC3FFA"/>
    <w:rsid w:val="00EE3CB7"/>
    <w:rsid w:val="00F53F80"/>
    <w:rsid w:val="00F66594"/>
    <w:rsid w:val="00F93448"/>
    <w:rsid w:val="00F97A5E"/>
    <w:rsid w:val="00FC376D"/>
    <w:rsid w:val="00FD6521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C20F27D"/>
  <w15:docId w15:val="{AA8D317A-E713-435F-BA5B-1DB816D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59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Normal"/>
    <w:qFormat/>
    <w:rsid w:val="00774179"/>
    <w:pPr>
      <w:keepNext/>
      <w:spacing w:after="140" w:line="44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C295B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9433CE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9433CE"/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4880"/>
    <w:pPr>
      <w:spacing w:line="240" w:lineRule="auto"/>
    </w:pPr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9433CE"/>
  </w:style>
  <w:style w:type="paragraph" w:customStyle="1" w:styleId="datomv">
    <w:name w:val="datomv"/>
    <w:basedOn w:val="skakt"/>
    <w:rsid w:val="009433CE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9433CE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9433CE"/>
  </w:style>
  <w:style w:type="paragraph" w:styleId="Sidefod">
    <w:name w:val="footer"/>
    <w:basedOn w:val="Normal"/>
    <w:rsid w:val="00C379C6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9433CE"/>
    <w:pPr>
      <w:framePr w:h="454" w:hRule="exact" w:wrap="around" w:vAnchor="page" w:hAnchor="page" w:x="9186" w:y="1702"/>
    </w:pPr>
    <w:rPr>
      <w:b/>
      <w:caps/>
      <w:sz w:val="15"/>
    </w:rPr>
  </w:style>
  <w:style w:type="paragraph" w:styleId="Listeafsnit">
    <w:name w:val="List Paragraph"/>
    <w:basedOn w:val="Normal"/>
    <w:uiPriority w:val="1"/>
    <w:qFormat/>
    <w:rsid w:val="00774179"/>
    <w:pPr>
      <w:numPr>
        <w:numId w:val="2"/>
      </w:numPr>
      <w:ind w:left="426" w:hanging="426"/>
      <w:contextualSpacing/>
    </w:pPr>
    <w:rPr>
      <w:lang w:val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4880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8C295B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customStyle="1" w:styleId="Underoverskrift">
    <w:name w:val="Underoverskrift"/>
    <w:basedOn w:val="Overskrift2"/>
    <w:next w:val="Normal"/>
    <w:qFormat/>
    <w:rsid w:val="008C295B"/>
    <w:pPr>
      <w:numPr>
        <w:numId w:val="3"/>
      </w:numPr>
    </w:pPr>
    <w:rPr>
      <w:lang w:val="en-GB"/>
    </w:rPr>
  </w:style>
  <w:style w:type="paragraph" w:customStyle="1" w:styleId="ListeTal">
    <w:name w:val="ListeTal"/>
    <w:basedOn w:val="Listeafsnit"/>
    <w:uiPriority w:val="1"/>
    <w:qFormat/>
    <w:rsid w:val="008C295B"/>
    <w:pPr>
      <w:numPr>
        <w:numId w:val="4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8C295B"/>
    <w:pPr>
      <w:numPr>
        <w:numId w:val="5"/>
      </w:numPr>
      <w:ind w:left="426" w:hanging="426"/>
    </w:pPr>
  </w:style>
  <w:style w:type="paragraph" w:styleId="Fodnotetekst">
    <w:name w:val="footnote text"/>
    <w:basedOn w:val="Normal"/>
    <w:link w:val="FodnotetekstTegn"/>
    <w:uiPriority w:val="99"/>
    <w:qFormat/>
    <w:rsid w:val="008F0359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8F0359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F0359"/>
    <w:rPr>
      <w:vertAlign w:val="superscript"/>
    </w:rPr>
  </w:style>
  <w:style w:type="paragraph" w:styleId="Brdtekst">
    <w:name w:val="Body Text"/>
    <w:basedOn w:val="Normal"/>
    <w:link w:val="BrdtekstTegn"/>
    <w:rsid w:val="000B235E"/>
  </w:style>
  <w:style w:type="character" w:customStyle="1" w:styleId="BrdtekstTegn">
    <w:name w:val="Brødtekst Tegn"/>
    <w:basedOn w:val="Standardskrifttypeiafsnit"/>
    <w:link w:val="Brdtekst"/>
    <w:rsid w:val="000B235E"/>
    <w:rPr>
      <w:rFonts w:ascii="Arial" w:hAnsi="Arial"/>
      <w:sz w:val="21"/>
    </w:rPr>
  </w:style>
  <w:style w:type="table" w:styleId="Lysskygge">
    <w:name w:val="Light Shading"/>
    <w:basedOn w:val="Tabel-Normal"/>
    <w:uiPriority w:val="60"/>
    <w:rsid w:val="000B23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Standardskrifttypeiafsnit"/>
    <w:uiPriority w:val="99"/>
    <w:unhideWhenUsed/>
    <w:rsid w:val="00A2685E"/>
    <w:rPr>
      <w:color w:val="990000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7952"/>
    <w:rPr>
      <w:color w:val="FF99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europa.eu/documents/10180/930752/EBA-GL-2014-10+%28Guidelines+on+O-SIIs+Assessment%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FT-Skabelon\Eng-Notat.dot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290A-3718-4F8C-A9EA-5B050E82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Eng-Notat</Template>
  <TotalTime>2</TotalTime>
  <Pages>2</Pages>
  <Words>342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Skotte Sørensen (FT)</dc:creator>
  <cp:lastModifiedBy>Christian Vorm (FT)</cp:lastModifiedBy>
  <cp:revision>6</cp:revision>
  <cp:lastPrinted>2016-07-19T12:31:00Z</cp:lastPrinted>
  <dcterms:created xsi:type="dcterms:W3CDTF">2018-06-27T09:48:00Z</dcterms:created>
  <dcterms:modified xsi:type="dcterms:W3CDTF">2018-07-13T09:11:00Z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  <property fmtid="{D5CDD505-2E9C-101B-9397-08002B2CF9AE}" pid="3" name="DocNumber">
    <vt:i4>0</vt:i4>
  </property>
  <property fmtid="{D5CDD505-2E9C-101B-9397-08002B2CF9AE}" pid="4" name="AdrCode">
    <vt:lpwstr/>
  </property>
  <property fmtid="{D5CDD505-2E9C-101B-9397-08002B2CF9AE}" pid="5" name="Modtager">
    <vt:lpwstr/>
  </property>
  <property fmtid="{D5CDD505-2E9C-101B-9397-08002B2CF9AE}" pid="6" name="PDokDato">
    <vt:lpwstr/>
  </property>
  <property fmtid="{D5CDD505-2E9C-101B-9397-08002B2CF9AE}" pid="7" name="PJournalNr">
    <vt:lpwstr/>
  </property>
  <property fmtid="{D5CDD505-2E9C-101B-9397-08002B2CF9AE}" pid="8" name="PEmne">
    <vt:lpwstr>Compliance with EBA/GL/2014/10 regarding other systemically important institutions </vt:lpwstr>
  </property>
  <property fmtid="{D5CDD505-2E9C-101B-9397-08002B2CF9AE}" pid="9" name="PATitle">
    <vt:lpwstr/>
  </property>
  <property fmtid="{D5CDD505-2E9C-101B-9397-08002B2CF9AE}" pid="10" name="PATlf">
    <vt:lpwstr/>
  </property>
  <property fmtid="{D5CDD505-2E9C-101B-9397-08002B2CF9AE}" pid="11" name="PAEmail">
    <vt:lpwstr/>
  </property>
  <property fmtid="{D5CDD505-2E9C-101B-9397-08002B2CF9AE}" pid="12" name="ModtRef">
    <vt:lpwstr/>
  </property>
  <property fmtid="{D5CDD505-2E9C-101B-9397-08002B2CF9AE}" pid="13" name="Initialer">
    <vt:lpwstr>ts</vt:lpwstr>
  </property>
  <property fmtid="{D5CDD505-2E9C-101B-9397-08002B2CF9AE}" pid="14" name="Bilag">
    <vt:i4>0</vt:i4>
  </property>
  <property fmtid="{D5CDD505-2E9C-101B-9397-08002B2CF9AE}" pid="15" name="Kontor">
    <vt:lpwstr/>
  </property>
  <property fmtid="{D5CDD505-2E9C-101B-9397-08002B2CF9AE}" pid="16" name="Diverse">
    <vt:lpwstr/>
  </property>
</Properties>
</file>