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>
        <w:trPr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rFonts w:ascii="Arial Black" w:hAnsi="Arial Black"/>
                <w:sz w:val="16"/>
              </w:rPr>
            </w:pPr>
            <w:r w:rsidRPr="00B23B9D">
              <w:rPr>
                <w:rFonts w:ascii="Arial Black" w:hAnsi="Arial Black"/>
                <w:sz w:val="16"/>
              </w:rPr>
              <w:t>Finanstilsynet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</w:p>
          <w:p w:rsidR="006C7261" w:rsidRDefault="00781CB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0" w:name="PCAdato"/>
            <w:bookmarkStart w:id="1" w:name="pDokDato"/>
            <w:bookmarkEnd w:id="0"/>
            <w:r>
              <w:rPr>
                <w:sz w:val="16"/>
              </w:rPr>
              <w:t>3</w:t>
            </w:r>
            <w:r w:rsidR="004C3628">
              <w:rPr>
                <w:sz w:val="16"/>
              </w:rPr>
              <w:t>. juli 2015</w:t>
            </w:r>
            <w:bookmarkEnd w:id="1"/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2" w:name="Kontor"/>
            <w:bookmarkEnd w:id="2"/>
          </w:p>
          <w:p w:rsidR="00163A8D" w:rsidRDefault="00163A8D" w:rsidP="004C3628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</w:pPr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163A8D">
        <w:trPr>
          <w:cantSplit/>
          <w:trHeight w:val="2040"/>
        </w:trPr>
        <w:tc>
          <w:tcPr>
            <w:tcW w:w="7258" w:type="dxa"/>
          </w:tcPr>
          <w:p w:rsidR="00163A8D" w:rsidRDefault="00163A8D"/>
          <w:p w:rsidR="00163A8D" w:rsidRDefault="00163A8D"/>
          <w:p w:rsidR="00163A8D" w:rsidRDefault="00163A8D">
            <w:bookmarkStart w:id="3" w:name="PCAmodtager"/>
            <w:bookmarkEnd w:id="3"/>
          </w:p>
          <w:p w:rsidR="00163A8D" w:rsidRDefault="00163A8D"/>
          <w:p w:rsidR="00163A8D" w:rsidRDefault="00163A8D"/>
          <w:p w:rsidR="00163A8D" w:rsidRDefault="00163A8D"/>
          <w:p w:rsidR="00163A8D" w:rsidRDefault="00163A8D"/>
          <w:p w:rsidR="00163A8D" w:rsidRDefault="00163A8D"/>
        </w:tc>
      </w:tr>
    </w:tbl>
    <w:p w:rsidR="004C3628" w:rsidRPr="00CC6CF9" w:rsidRDefault="004C3628" w:rsidP="004C3628">
      <w:pPr>
        <w:pStyle w:val="Overskrift1"/>
      </w:pPr>
      <w:bookmarkStart w:id="4" w:name="PCAoverskrift"/>
      <w:bookmarkStart w:id="5" w:name="PCAStart"/>
      <w:bookmarkEnd w:id="4"/>
      <w:bookmarkEnd w:id="5"/>
      <w:r>
        <w:t>Ansøgning om brug af volatilitetsjustering</w:t>
      </w:r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</w:tblGrid>
      <w:tr w:rsidR="004C3628" w:rsidRPr="001834ED" w:rsidTr="004C3628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4C3628" w:rsidRPr="001834ED" w:rsidRDefault="004C3628" w:rsidP="00CA42DE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</w:p>
          <w:p w:rsidR="004C3628" w:rsidRPr="001834ED" w:rsidRDefault="004C3628" w:rsidP="00CA42DE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Selskabsnavn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4C3628" w:rsidRPr="001834ED" w:rsidRDefault="004C3628" w:rsidP="00CA42DE">
            <w:pPr>
              <w:spacing w:after="120" w:line="240" w:lineRule="auto"/>
              <w:rPr>
                <w:rFonts w:cs="Arial"/>
                <w:b/>
                <w:snapToGrid w:val="0"/>
                <w:color w:val="000000"/>
              </w:rPr>
            </w:pPr>
            <w:r w:rsidRPr="001834ED">
              <w:rPr>
                <w:rFonts w:cs="Arial"/>
                <w:b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4C3628" w:rsidRPr="001834ED" w:rsidTr="004C3628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4C3628" w:rsidRPr="001834ED" w:rsidRDefault="00FD75E4" w:rsidP="00CA42DE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CVR</w:t>
            </w:r>
            <w:r w:rsidR="004C3628">
              <w:rPr>
                <w:rFonts w:cs="Arial"/>
                <w:snapToGrid w:val="0"/>
              </w:rPr>
              <w:t>-nummer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4C3628" w:rsidRPr="001834ED" w:rsidRDefault="004C3628" w:rsidP="00CA42DE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 w:rsidRPr="001834ED">
              <w:rPr>
                <w:rFonts w:cs="Arial"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4C3628" w:rsidRPr="001834ED" w:rsidTr="004C3628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4C3628" w:rsidRPr="001834ED" w:rsidRDefault="004C3628" w:rsidP="00CA42DE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Dato for ansøgning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4C3628" w:rsidRPr="001834ED" w:rsidRDefault="004C3628" w:rsidP="00CA42DE">
            <w:pPr>
              <w:spacing w:after="120" w:line="240" w:lineRule="auto"/>
              <w:rPr>
                <w:rFonts w:cs="Arial"/>
                <w:noProof/>
                <w:snapToGrid w:val="0"/>
                <w:color w:val="000000"/>
              </w:rPr>
            </w:pPr>
          </w:p>
        </w:tc>
      </w:tr>
    </w:tbl>
    <w:p w:rsidR="004C3628" w:rsidRPr="00F23784" w:rsidRDefault="004C3628" w:rsidP="004C3628">
      <w:pPr>
        <w:rPr>
          <w:rFonts w:cs="Arial"/>
        </w:rPr>
      </w:pPr>
      <w:r w:rsidRPr="00F23784">
        <w:rPr>
          <w:rFonts w:cs="Arial"/>
        </w:rPr>
        <w:t xml:space="preserve">Nedenstående skema angiver de redegørelser og </w:t>
      </w:r>
      <w:r>
        <w:rPr>
          <w:rFonts w:cs="Arial"/>
        </w:rPr>
        <w:t>dokumenter</w:t>
      </w:r>
      <w:r w:rsidRPr="00F23784">
        <w:rPr>
          <w:rFonts w:cs="Arial"/>
        </w:rPr>
        <w:t xml:space="preserve"> selska</w:t>
      </w:r>
      <w:r>
        <w:rPr>
          <w:rFonts w:cs="Arial"/>
        </w:rPr>
        <w:t>bet skal indsende i forbindelse med ansøgningen om brug af volatilitetsjustering. De nærmere bestemmelser om volatilitetsjustering kan ses i bekendtgørelse om matchtilpasning og volatilitetsjustering af den risikofrie rentekurve for gruppe 1-forsikringsselskaber.</w:t>
      </w:r>
    </w:p>
    <w:p w:rsidR="00781CBD" w:rsidRDefault="00781CBD" w:rsidP="004C3628">
      <w:pPr>
        <w:rPr>
          <w:rFonts w:cs="Arial"/>
        </w:rPr>
      </w:pPr>
    </w:p>
    <w:p w:rsidR="004C3628" w:rsidRDefault="004C3628" w:rsidP="004C3628">
      <w:pPr>
        <w:rPr>
          <w:rFonts w:cs="Arial"/>
        </w:rPr>
      </w:pPr>
      <w:r>
        <w:rPr>
          <w:rFonts w:cs="Arial"/>
        </w:rPr>
        <w:t>Ansøgning om brug af volatilitetsjustering skal behandles af selskabets b</w:t>
      </w:r>
      <w:r>
        <w:rPr>
          <w:rFonts w:cs="Arial"/>
        </w:rPr>
        <w:t>e</w:t>
      </w:r>
      <w:r>
        <w:rPr>
          <w:rFonts w:cs="Arial"/>
        </w:rPr>
        <w:t>styrelse inden den indsendes til Finanstilsynet.</w:t>
      </w:r>
    </w:p>
    <w:p w:rsidR="00504138" w:rsidRDefault="00504138" w:rsidP="004C3628">
      <w:pPr>
        <w:rPr>
          <w:rFonts w:cs="Arial"/>
        </w:rPr>
      </w:pPr>
    </w:p>
    <w:p w:rsidR="007767A3" w:rsidRDefault="00504138" w:rsidP="004C3628">
      <w:pPr>
        <w:rPr>
          <w:rFonts w:cs="Arial"/>
        </w:rPr>
      </w:pPr>
      <w:r>
        <w:rPr>
          <w:rFonts w:cs="Arial"/>
        </w:rPr>
        <w:t>Finanstilsynet forventer at behandlingen af ansøgningen kan afsluttes s</w:t>
      </w:r>
      <w:r>
        <w:rPr>
          <w:rFonts w:cs="Arial"/>
        </w:rPr>
        <w:t>e</w:t>
      </w:r>
      <w:r>
        <w:rPr>
          <w:rFonts w:cs="Arial"/>
        </w:rPr>
        <w:t xml:space="preserve">nest 2 måneder efter modtagelsen. </w:t>
      </w:r>
    </w:p>
    <w:p w:rsidR="004C3628" w:rsidRPr="00F23784" w:rsidRDefault="004C3628" w:rsidP="004C3628">
      <w:pPr>
        <w:rPr>
          <w:rFonts w:cs="Arial"/>
        </w:rPr>
      </w:pPr>
      <w:bookmarkStart w:id="6" w:name="_GoBack"/>
      <w:bookmarkEnd w:id="6"/>
    </w:p>
    <w:tbl>
      <w:tblPr>
        <w:tblStyle w:val="Tabel-Gitter"/>
        <w:tblW w:w="7088" w:type="dxa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4C3628" w:rsidRPr="00DE177D" w:rsidTr="004C3628">
        <w:trPr>
          <w:trHeight w:val="265"/>
        </w:trPr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4C3628" w:rsidRPr="00DE177D" w:rsidRDefault="004C3628" w:rsidP="004C3628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 w:rsidRPr="00F23784">
              <w:rPr>
                <w:sz w:val="22"/>
                <w:szCs w:val="22"/>
                <w:lang w:val="da-DK"/>
              </w:rPr>
              <w:t>Den vedtagne politik for risikostyring</w:t>
            </w:r>
            <w:r w:rsidR="00251333">
              <w:rPr>
                <w:sz w:val="22"/>
                <w:szCs w:val="22"/>
                <w:lang w:val="da-DK"/>
              </w:rPr>
              <w:t>,</w:t>
            </w:r>
            <w:r w:rsidRPr="00F23784">
              <w:rPr>
                <w:sz w:val="22"/>
                <w:szCs w:val="22"/>
                <w:lang w:val="da-DK"/>
              </w:rPr>
              <w:t xml:space="preserve"> jf. bekendtgørelsens §</w:t>
            </w:r>
            <w:r>
              <w:rPr>
                <w:sz w:val="22"/>
                <w:szCs w:val="22"/>
                <w:lang w:val="da-DK"/>
              </w:rPr>
              <w:t xml:space="preserve"> </w:t>
            </w:r>
            <w:r w:rsidRPr="00F23784">
              <w:rPr>
                <w:sz w:val="22"/>
                <w:szCs w:val="22"/>
                <w:lang w:val="da-DK"/>
              </w:rPr>
              <w:t>4, stk. 5.</w:t>
            </w:r>
            <w:r>
              <w:rPr>
                <w:sz w:val="22"/>
                <w:szCs w:val="22"/>
                <w:lang w:val="da-DK"/>
              </w:rPr>
              <w:t xml:space="preserve"> </w:t>
            </w:r>
            <w:r w:rsidRPr="00F23784">
              <w:rPr>
                <w:sz w:val="22"/>
                <w:szCs w:val="22"/>
                <w:lang w:val="da-DK"/>
              </w:rPr>
              <w:t xml:space="preserve"> </w:t>
            </w:r>
            <w:r w:rsidRPr="00DE177D">
              <w:rPr>
                <w:sz w:val="22"/>
                <w:szCs w:val="22"/>
                <w:lang w:val="da-DK"/>
              </w:rPr>
              <w:t>Polit</w:t>
            </w:r>
            <w:r>
              <w:rPr>
                <w:sz w:val="22"/>
                <w:szCs w:val="22"/>
                <w:lang w:val="da-DK"/>
              </w:rPr>
              <w:t xml:space="preserve">ikken skal som minimum indeholde </w:t>
            </w:r>
            <w:r w:rsidRPr="00A71782">
              <w:rPr>
                <w:sz w:val="22"/>
                <w:szCs w:val="22"/>
                <w:lang w:val="da-DK"/>
              </w:rPr>
              <w:t>en beskrivelse af de forpligtelser volatilitetsjusteringen anvendes på samt kriterier for anvendels</w:t>
            </w:r>
            <w:r w:rsidR="00251333">
              <w:rPr>
                <w:sz w:val="22"/>
                <w:szCs w:val="22"/>
                <w:lang w:val="da-DK"/>
              </w:rPr>
              <w:t>e af volatilitetsjusteringen, fx</w:t>
            </w:r>
            <w:r w:rsidRPr="00A71782">
              <w:rPr>
                <w:sz w:val="22"/>
                <w:szCs w:val="22"/>
                <w:lang w:val="da-DK"/>
              </w:rPr>
              <w:t xml:space="preserve"> hvilke scenarier volatilite</w:t>
            </w:r>
            <w:r w:rsidRPr="00A71782">
              <w:rPr>
                <w:sz w:val="22"/>
                <w:szCs w:val="22"/>
                <w:lang w:val="da-DK"/>
              </w:rPr>
              <w:t>t</w:t>
            </w:r>
            <w:r w:rsidRPr="00A71782">
              <w:rPr>
                <w:sz w:val="22"/>
                <w:szCs w:val="22"/>
                <w:lang w:val="da-DK"/>
              </w:rPr>
              <w:t>sjusteringen anvendes/ikke anvendes i</w:t>
            </w:r>
            <w:r>
              <w:rPr>
                <w:sz w:val="22"/>
                <w:szCs w:val="22"/>
                <w:lang w:val="da-DK"/>
              </w:rPr>
              <w:t>.</w:t>
            </w:r>
          </w:p>
        </w:tc>
      </w:tr>
      <w:tr w:rsidR="004C3628" w:rsidRPr="00017D95" w:rsidTr="004C3628">
        <w:trPr>
          <w:trHeight w:val="441"/>
        </w:trPr>
        <w:tc>
          <w:tcPr>
            <w:tcW w:w="7088" w:type="dxa"/>
            <w:tcMar>
              <w:top w:w="57" w:type="dxa"/>
              <w:bottom w:w="57" w:type="dxa"/>
            </w:tcMar>
          </w:tcPr>
          <w:p w:rsidR="004C3628" w:rsidRPr="00017D95" w:rsidRDefault="004C3628" w:rsidP="00CA42DE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4C3628" w:rsidRPr="00017D95" w:rsidRDefault="004C3628" w:rsidP="00CA42DE">
            <w:pPr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4C3628" w:rsidRPr="00A71782" w:rsidTr="004C3628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4C3628" w:rsidRPr="00A71782" w:rsidRDefault="004C3628" w:rsidP="004C3628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L</w:t>
            </w:r>
            <w:r w:rsidRPr="00A71782">
              <w:rPr>
                <w:sz w:val="22"/>
                <w:szCs w:val="22"/>
                <w:lang w:val="da-DK"/>
              </w:rPr>
              <w:t>ikviditetsplan</w:t>
            </w:r>
            <w:r>
              <w:rPr>
                <w:sz w:val="22"/>
                <w:szCs w:val="22"/>
                <w:lang w:val="da-DK"/>
              </w:rPr>
              <w:t>en</w:t>
            </w:r>
            <w:r w:rsidR="00251333">
              <w:rPr>
                <w:sz w:val="22"/>
                <w:szCs w:val="22"/>
                <w:lang w:val="da-DK"/>
              </w:rPr>
              <w:t>,</w:t>
            </w:r>
            <w:r w:rsidRPr="00A71782">
              <w:rPr>
                <w:sz w:val="22"/>
                <w:szCs w:val="22"/>
                <w:lang w:val="da-DK"/>
              </w:rPr>
              <w:t xml:space="preserve"> jf. bekendtgørelsens § 4, stk. </w:t>
            </w:r>
            <w:r>
              <w:rPr>
                <w:sz w:val="22"/>
                <w:szCs w:val="22"/>
                <w:lang w:val="da-DK"/>
              </w:rPr>
              <w:t>2.</w:t>
            </w:r>
          </w:p>
        </w:tc>
      </w:tr>
      <w:tr w:rsidR="004C3628" w:rsidRPr="001834ED" w:rsidTr="004C3628">
        <w:tc>
          <w:tcPr>
            <w:tcW w:w="7088" w:type="dxa"/>
            <w:tcMar>
              <w:top w:w="57" w:type="dxa"/>
              <w:bottom w:w="57" w:type="dxa"/>
            </w:tcMar>
          </w:tcPr>
          <w:p w:rsidR="004C3628" w:rsidRPr="00017D95" w:rsidRDefault="004C3628" w:rsidP="00CA42DE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4C3628" w:rsidRPr="001834ED" w:rsidRDefault="004C3628" w:rsidP="00CA42DE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4C3628" w:rsidRPr="001834ED" w:rsidRDefault="004C3628" w:rsidP="00CA42DE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  <w:tr w:rsidR="004C3628" w:rsidRPr="00A71782" w:rsidTr="004C3628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C3628" w:rsidRPr="00A71782" w:rsidRDefault="004C3628" w:rsidP="004C3628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 w:rsidRPr="00A71782">
              <w:rPr>
                <w:sz w:val="22"/>
                <w:szCs w:val="22"/>
                <w:lang w:val="da-DK"/>
              </w:rPr>
              <w:lastRenderedPageBreak/>
              <w:t>Beregninger, der viser konsekvensen af en nedsættelse af volatil</w:t>
            </w:r>
            <w:r w:rsidRPr="00A71782">
              <w:rPr>
                <w:sz w:val="22"/>
                <w:szCs w:val="22"/>
                <w:lang w:val="da-DK"/>
              </w:rPr>
              <w:t>i</w:t>
            </w:r>
            <w:r w:rsidRPr="00A71782">
              <w:rPr>
                <w:sz w:val="22"/>
                <w:szCs w:val="22"/>
                <w:lang w:val="da-DK"/>
              </w:rPr>
              <w:t>tetsjusteringen til nul på selskabets finansielle situation. Beregni</w:t>
            </w:r>
            <w:r w:rsidRPr="00A71782">
              <w:rPr>
                <w:sz w:val="22"/>
                <w:szCs w:val="22"/>
                <w:lang w:val="da-DK"/>
              </w:rPr>
              <w:t>n</w:t>
            </w:r>
            <w:r w:rsidRPr="00A71782">
              <w:rPr>
                <w:sz w:val="22"/>
                <w:szCs w:val="22"/>
                <w:lang w:val="da-DK"/>
              </w:rPr>
              <w:t>gerne skal som minimum vise effekten på hensættelserne, kapita</w:t>
            </w:r>
            <w:r w:rsidRPr="00A71782">
              <w:rPr>
                <w:sz w:val="22"/>
                <w:szCs w:val="22"/>
                <w:lang w:val="da-DK"/>
              </w:rPr>
              <w:t>l</w:t>
            </w:r>
            <w:r w:rsidRPr="00A71782">
              <w:rPr>
                <w:sz w:val="22"/>
                <w:szCs w:val="22"/>
                <w:lang w:val="da-DK"/>
              </w:rPr>
              <w:t>kravene, kapitalgrundlaget og solvensen</w:t>
            </w:r>
            <w:r>
              <w:rPr>
                <w:sz w:val="22"/>
                <w:szCs w:val="22"/>
                <w:lang w:val="da-DK"/>
              </w:rPr>
              <w:t>.</w:t>
            </w:r>
          </w:p>
        </w:tc>
      </w:tr>
      <w:tr w:rsidR="004C3628" w:rsidRPr="001834ED" w:rsidTr="004C3628">
        <w:tc>
          <w:tcPr>
            <w:tcW w:w="7088" w:type="dxa"/>
            <w:tcMar>
              <w:top w:w="57" w:type="dxa"/>
              <w:bottom w:w="57" w:type="dxa"/>
            </w:tcMar>
          </w:tcPr>
          <w:p w:rsidR="004C3628" w:rsidRPr="00017D95" w:rsidRDefault="004C3628" w:rsidP="00CA42DE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4C3628" w:rsidRPr="001834ED" w:rsidRDefault="004C3628" w:rsidP="00CA42DE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  <w:tr w:rsidR="00416FE0" w:rsidRPr="00A71782" w:rsidTr="00AD05FC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416FE0" w:rsidRPr="00A71782" w:rsidRDefault="00781CBD" w:rsidP="00781CBD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En redegørelse for sammenhængen mellem beslutningen om at anvende volatilitetsjusteringen og selskabets investeringsstrategi, herunder en vurdering af, hvorvidt forudsætningerne bag bere</w:t>
            </w:r>
            <w:r>
              <w:rPr>
                <w:sz w:val="22"/>
                <w:szCs w:val="22"/>
                <w:lang w:val="da-DK"/>
              </w:rPr>
              <w:t>g</w:t>
            </w:r>
            <w:r>
              <w:rPr>
                <w:sz w:val="22"/>
                <w:szCs w:val="22"/>
                <w:lang w:val="da-DK"/>
              </w:rPr>
              <w:t>ningen af volatilitetsjusteringen passer på selskabets konkrete a</w:t>
            </w:r>
            <w:r>
              <w:rPr>
                <w:sz w:val="22"/>
                <w:szCs w:val="22"/>
                <w:lang w:val="da-DK"/>
              </w:rPr>
              <w:t>k</w:t>
            </w:r>
            <w:r>
              <w:rPr>
                <w:sz w:val="22"/>
                <w:szCs w:val="22"/>
                <w:lang w:val="da-DK"/>
              </w:rPr>
              <w:t>tivportefølje.</w:t>
            </w:r>
          </w:p>
        </w:tc>
      </w:tr>
      <w:tr w:rsidR="00416FE0" w:rsidRPr="001834ED" w:rsidTr="00AD05FC">
        <w:tc>
          <w:tcPr>
            <w:tcW w:w="7088" w:type="dxa"/>
            <w:tcMar>
              <w:top w:w="57" w:type="dxa"/>
              <w:bottom w:w="57" w:type="dxa"/>
            </w:tcMar>
          </w:tcPr>
          <w:p w:rsidR="00416FE0" w:rsidRPr="00017D95" w:rsidRDefault="00416FE0" w:rsidP="00AD05FC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416FE0" w:rsidRPr="001834ED" w:rsidRDefault="00416FE0" w:rsidP="00AD05FC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416FE0" w:rsidRPr="001834ED" w:rsidRDefault="00416FE0" w:rsidP="00AD05FC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  <w:tr w:rsidR="004C3628" w:rsidRPr="00A71782" w:rsidTr="004C3628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C3628" w:rsidRPr="00A71782" w:rsidRDefault="004C3628" w:rsidP="004C3628">
            <w:pPr>
              <w:pStyle w:val="Listeafsni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</w:t>
            </w:r>
            <w:r w:rsidRPr="00A71782">
              <w:rPr>
                <w:sz w:val="22"/>
                <w:szCs w:val="22"/>
                <w:lang w:val="da-DK"/>
              </w:rPr>
              <w:t>e tiltag selskabet har mulighed for at anvende for at sikre geno</w:t>
            </w:r>
            <w:r w:rsidRPr="00A71782">
              <w:rPr>
                <w:sz w:val="22"/>
                <w:szCs w:val="22"/>
                <w:lang w:val="da-DK"/>
              </w:rPr>
              <w:t>p</w:t>
            </w:r>
            <w:r w:rsidRPr="00A71782">
              <w:rPr>
                <w:sz w:val="22"/>
                <w:szCs w:val="22"/>
                <w:lang w:val="da-DK"/>
              </w:rPr>
              <w:t xml:space="preserve">retning af solvensen, </w:t>
            </w:r>
            <w:r>
              <w:rPr>
                <w:sz w:val="22"/>
                <w:szCs w:val="22"/>
                <w:lang w:val="da-DK"/>
              </w:rPr>
              <w:t>hvis</w:t>
            </w:r>
            <w:r w:rsidRPr="00A71782">
              <w:rPr>
                <w:sz w:val="22"/>
                <w:szCs w:val="22"/>
                <w:lang w:val="da-DK"/>
              </w:rPr>
              <w:t xml:space="preserve"> en nedsættelse af volatilitetsjusteringen til nul fører til brud på solvenskapitalkravet</w:t>
            </w:r>
            <w:r>
              <w:rPr>
                <w:sz w:val="22"/>
                <w:szCs w:val="22"/>
                <w:lang w:val="da-DK"/>
              </w:rPr>
              <w:t>.</w:t>
            </w:r>
            <w:r w:rsidRPr="00A71782">
              <w:rPr>
                <w:sz w:val="22"/>
                <w:szCs w:val="22"/>
                <w:lang w:val="da-DK"/>
              </w:rPr>
              <w:t xml:space="preserve"> </w:t>
            </w:r>
          </w:p>
        </w:tc>
      </w:tr>
      <w:tr w:rsidR="004C3628" w:rsidRPr="001647BA" w:rsidTr="004C3628">
        <w:tc>
          <w:tcPr>
            <w:tcW w:w="7088" w:type="dxa"/>
            <w:tcMar>
              <w:top w:w="57" w:type="dxa"/>
              <w:bottom w:w="57" w:type="dxa"/>
            </w:tcMar>
          </w:tcPr>
          <w:p w:rsidR="004C3628" w:rsidRPr="00017D95" w:rsidRDefault="004C3628" w:rsidP="00CA42DE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4C3628" w:rsidRPr="001647BA" w:rsidRDefault="004C3628" w:rsidP="00CA42DE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  <w:p w:rsidR="004C3628" w:rsidRPr="001647BA" w:rsidRDefault="004C3628" w:rsidP="00CA42DE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  <w:tr w:rsidR="004C3628" w:rsidRPr="00017D95" w:rsidTr="004C3628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C3628" w:rsidRPr="00017D95" w:rsidRDefault="00251333" w:rsidP="004C3628">
            <w:pPr>
              <w:pStyle w:val="Listeafsnit"/>
              <w:numPr>
                <w:ilvl w:val="0"/>
                <w:numId w:val="7"/>
              </w:numPr>
              <w:spacing w:line="240" w:lineRule="auto"/>
              <w:jc w:val="left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Dokumentation for</w:t>
            </w:r>
            <w:r w:rsidR="004C3628" w:rsidRPr="00017D95">
              <w:rPr>
                <w:sz w:val="22"/>
                <w:szCs w:val="22"/>
                <w:lang w:val="da-DK"/>
              </w:rPr>
              <w:t xml:space="preserve"> at bestyrelsen har behandlet ansøgningen.</w:t>
            </w:r>
          </w:p>
          <w:p w:rsidR="004C3628" w:rsidRPr="00017D95" w:rsidRDefault="004C3628" w:rsidP="00CA42DE">
            <w:pPr>
              <w:pStyle w:val="BulletHeading"/>
              <w:ind w:left="360" w:firstLine="0"/>
              <w:jc w:val="both"/>
              <w:outlineLvl w:val="9"/>
              <w:rPr>
                <w:sz w:val="22"/>
                <w:szCs w:val="22"/>
                <w:lang w:val="da-DK" w:eastAsia="en-GB"/>
              </w:rPr>
            </w:pPr>
          </w:p>
        </w:tc>
      </w:tr>
      <w:tr w:rsidR="004C3628" w:rsidRPr="001834ED" w:rsidTr="004C3628">
        <w:tc>
          <w:tcPr>
            <w:tcW w:w="7088" w:type="dxa"/>
            <w:tcMar>
              <w:top w:w="57" w:type="dxa"/>
              <w:bottom w:w="57" w:type="dxa"/>
            </w:tcMar>
          </w:tcPr>
          <w:p w:rsidR="004C3628" w:rsidRPr="00017D95" w:rsidRDefault="004C3628" w:rsidP="00CA42DE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4C3628" w:rsidRPr="001834ED" w:rsidRDefault="004C3628" w:rsidP="00CA42DE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  <w:p w:rsidR="004C3628" w:rsidRPr="001834ED" w:rsidRDefault="004C3628" w:rsidP="00CA42DE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4C3628" w:rsidRPr="001834ED" w:rsidRDefault="004C3628" w:rsidP="004C3628">
      <w:pPr>
        <w:spacing w:line="360" w:lineRule="auto"/>
        <w:rPr>
          <w:rFonts w:cs="Arial"/>
          <w:b/>
        </w:rPr>
      </w:pPr>
    </w:p>
    <w:p w:rsidR="004C3628" w:rsidRPr="001834ED" w:rsidRDefault="004C3628" w:rsidP="004C3628">
      <w:pPr>
        <w:rPr>
          <w:rFonts w:cs="Arial"/>
        </w:rPr>
      </w:pPr>
    </w:p>
    <w:p w:rsidR="00163A8D" w:rsidRDefault="00781CBD">
      <w:pPr>
        <w:pStyle w:val="Brdtekst"/>
      </w:pPr>
      <w:r w:rsidRPr="00781CBD">
        <w:rPr>
          <w:b/>
        </w:rPr>
        <w:t>Kontaktperson</w:t>
      </w:r>
      <w:r>
        <w:t xml:space="preserve">: Jens Henrik Laursen, </w:t>
      </w:r>
      <w:hyperlink r:id="rId9" w:history="1">
        <w:r w:rsidRPr="00D221D6">
          <w:rPr>
            <w:rStyle w:val="Hyperlink"/>
          </w:rPr>
          <w:t>jhl@ftnet.dk</w:t>
        </w:r>
      </w:hyperlink>
      <w:r>
        <w:t>, tlf.: 33 55 83 98</w:t>
      </w:r>
    </w:p>
    <w:p w:rsidR="00163A8D" w:rsidRDefault="00163A8D">
      <w:pPr>
        <w:pStyle w:val="Brdtekst"/>
      </w:pPr>
    </w:p>
    <w:p w:rsidR="00331EDD" w:rsidRDefault="00331EDD">
      <w:pPr>
        <w:pStyle w:val="Brdtekst"/>
      </w:pPr>
    </w:p>
    <w:sectPr w:rsidR="00331EDD" w:rsidSect="007767A3">
      <w:headerReference w:type="default" r:id="rId10"/>
      <w:headerReference w:type="first" r:id="rId11"/>
      <w:pgSz w:w="11906" w:h="16838" w:code="9"/>
      <w:pgMar w:top="2325" w:right="3686" w:bottom="1276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28" w:rsidRDefault="004C3628">
      <w:pPr>
        <w:spacing w:line="240" w:lineRule="auto"/>
      </w:pPr>
      <w:r>
        <w:separator/>
      </w:r>
    </w:p>
  </w:endnote>
  <w:endnote w:type="continuationSeparator" w:id="0">
    <w:p w:rsidR="004C3628" w:rsidRDefault="004C3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28" w:rsidRDefault="004C3628">
      <w:pPr>
        <w:spacing w:line="240" w:lineRule="auto"/>
      </w:pPr>
      <w:r>
        <w:separator/>
      </w:r>
    </w:p>
  </w:footnote>
  <w:footnote w:type="continuationSeparator" w:id="0">
    <w:p w:rsidR="004C3628" w:rsidRDefault="004C3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D" w:rsidRDefault="00C12726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163A8D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767A3">
      <w:rPr>
        <w:rStyle w:val="Sidetal"/>
        <w:noProof/>
      </w:rPr>
      <w:t>2</w:t>
    </w:r>
    <w:r>
      <w:rPr>
        <w:rStyle w:val="Sidetal"/>
      </w:rPr>
      <w:fldChar w:fldCharType="end"/>
    </w:r>
    <w:r w:rsidR="00163A8D">
      <w:rPr>
        <w:rStyle w:val="Sidetal"/>
      </w:rPr>
      <w:t>/</w:t>
    </w:r>
    <w:r>
      <w:rPr>
        <w:rStyle w:val="Sidetal"/>
      </w:rPr>
      <w:fldChar w:fldCharType="begin"/>
    </w:r>
    <w:r w:rsidR="00163A8D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7767A3">
      <w:rPr>
        <w:rStyle w:val="Sidetal"/>
        <w:noProof/>
      </w:rPr>
      <w:t>2</w:t>
    </w:r>
    <w:r>
      <w:rPr>
        <w:rStyle w:val="Sidetal"/>
      </w:rPr>
      <w:fldChar w:fldCharType="end"/>
    </w: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D" w:rsidRDefault="00CD5C1F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EC92959" wp14:editId="06444162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349">
      <w:rPr>
        <w:noProof/>
      </w:rPr>
      <w:drawing>
        <wp:anchor distT="0" distB="0" distL="114300" distR="114300" simplePos="0" relativeHeight="251657728" behindDoc="0" locked="1" layoutInCell="0" allowOverlap="1" wp14:anchorId="038CFE6F" wp14:editId="530993C8">
          <wp:simplePos x="0" y="0"/>
          <wp:positionH relativeFrom="margin">
            <wp:posOffset>-9525</wp:posOffset>
          </wp:positionH>
          <wp:positionV relativeFrom="page">
            <wp:posOffset>1503045</wp:posOffset>
          </wp:positionV>
          <wp:extent cx="638175" cy="114300"/>
          <wp:effectExtent l="19050" t="0" r="9525" b="0"/>
          <wp:wrapTopAndBottom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C9E"/>
    <w:multiLevelType w:val="multilevel"/>
    <w:tmpl w:val="B4443E96"/>
    <w:lvl w:ilvl="0">
      <w:start w:val="1"/>
      <w:numFmt w:val="decimal"/>
      <w:pStyle w:val="Underoverskrif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3C7D2F"/>
    <w:multiLevelType w:val="hybridMultilevel"/>
    <w:tmpl w:val="7B14156E"/>
    <w:lvl w:ilvl="0" w:tplc="9128487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2C0E20"/>
    <w:multiLevelType w:val="hybridMultilevel"/>
    <w:tmpl w:val="DE68F320"/>
    <w:lvl w:ilvl="0" w:tplc="A1ACD74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87A84"/>
    <w:multiLevelType w:val="hybridMultilevel"/>
    <w:tmpl w:val="BBB49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53794"/>
    <w:multiLevelType w:val="hybridMultilevel"/>
    <w:tmpl w:val="308E1D24"/>
    <w:lvl w:ilvl="0" w:tplc="3E0CC88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C456E55"/>
    <w:multiLevelType w:val="hybridMultilevel"/>
    <w:tmpl w:val="651EC290"/>
    <w:lvl w:ilvl="0" w:tplc="B88C61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4C3628"/>
    <w:rsid w:val="0002744C"/>
    <w:rsid w:val="000A3975"/>
    <w:rsid w:val="000C0183"/>
    <w:rsid w:val="000C13A3"/>
    <w:rsid w:val="00120388"/>
    <w:rsid w:val="00163A8D"/>
    <w:rsid w:val="001E4A6B"/>
    <w:rsid w:val="00230D73"/>
    <w:rsid w:val="00251333"/>
    <w:rsid w:val="00260676"/>
    <w:rsid w:val="002779D0"/>
    <w:rsid w:val="002A499B"/>
    <w:rsid w:val="002B53DA"/>
    <w:rsid w:val="002B5736"/>
    <w:rsid w:val="002E6F9A"/>
    <w:rsid w:val="002F13A8"/>
    <w:rsid w:val="00305117"/>
    <w:rsid w:val="00331EDD"/>
    <w:rsid w:val="003E3B9B"/>
    <w:rsid w:val="003E4349"/>
    <w:rsid w:val="00416FE0"/>
    <w:rsid w:val="0044286B"/>
    <w:rsid w:val="004C3628"/>
    <w:rsid w:val="00504138"/>
    <w:rsid w:val="005439BC"/>
    <w:rsid w:val="00586C74"/>
    <w:rsid w:val="0063728A"/>
    <w:rsid w:val="006724DD"/>
    <w:rsid w:val="006C3314"/>
    <w:rsid w:val="006C7261"/>
    <w:rsid w:val="006F510B"/>
    <w:rsid w:val="00700253"/>
    <w:rsid w:val="00703E18"/>
    <w:rsid w:val="007767A3"/>
    <w:rsid w:val="00781CBD"/>
    <w:rsid w:val="007E5F37"/>
    <w:rsid w:val="00904F2B"/>
    <w:rsid w:val="00907B69"/>
    <w:rsid w:val="00911391"/>
    <w:rsid w:val="009C70F7"/>
    <w:rsid w:val="00A30B33"/>
    <w:rsid w:val="00AA185B"/>
    <w:rsid w:val="00B23B9D"/>
    <w:rsid w:val="00B57A46"/>
    <w:rsid w:val="00BA2345"/>
    <w:rsid w:val="00BF501F"/>
    <w:rsid w:val="00C12726"/>
    <w:rsid w:val="00C5465E"/>
    <w:rsid w:val="00CD5C1F"/>
    <w:rsid w:val="00CF4780"/>
    <w:rsid w:val="00DB1666"/>
    <w:rsid w:val="00E2456A"/>
    <w:rsid w:val="00E34E1B"/>
    <w:rsid w:val="00E44B59"/>
    <w:rsid w:val="00EC3FFA"/>
    <w:rsid w:val="00F924F2"/>
    <w:rsid w:val="00F962EE"/>
    <w:rsid w:val="00F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link w:val="ListeafsnitTegn"/>
    <w:uiPriority w:val="34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4C3628"/>
    <w:rPr>
      <w:rFonts w:ascii="Arial" w:hAnsi="Arial"/>
      <w:sz w:val="21"/>
    </w:rPr>
  </w:style>
  <w:style w:type="table" w:styleId="Tabel-Gitter">
    <w:name w:val="Table Grid"/>
    <w:basedOn w:val="Tabel-Normal"/>
    <w:uiPriority w:val="59"/>
    <w:rsid w:val="004C3628"/>
    <w:rPr>
      <w:rFonts w:ascii="Calibri" w:hAnsi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Heading">
    <w:name w:val="Bullet Heading"/>
    <w:basedOn w:val="Listeafsnit"/>
    <w:link w:val="BulletHeadingChar"/>
    <w:qFormat/>
    <w:rsid w:val="004C3628"/>
    <w:pPr>
      <w:numPr>
        <w:numId w:val="0"/>
      </w:numPr>
      <w:spacing w:line="240" w:lineRule="auto"/>
      <w:ind w:left="720" w:hanging="360"/>
      <w:jc w:val="left"/>
      <w:outlineLvl w:val="1"/>
    </w:pPr>
    <w:rPr>
      <w:rFonts w:cs="Arial"/>
      <w:b/>
      <w:color w:val="2F2F2F"/>
      <w:sz w:val="20"/>
      <w:lang w:val="en-GB" w:eastAsia="en-US"/>
    </w:rPr>
  </w:style>
  <w:style w:type="character" w:customStyle="1" w:styleId="BulletHeadingChar">
    <w:name w:val="Bullet Heading Char"/>
    <w:basedOn w:val="Standardskrifttypeiafsnit"/>
    <w:link w:val="BulletHeading"/>
    <w:rsid w:val="004C3628"/>
    <w:rPr>
      <w:rFonts w:ascii="Arial" w:hAnsi="Arial" w:cs="Arial"/>
      <w:b/>
      <w:color w:val="2F2F2F"/>
      <w:lang w:val="en-GB" w:eastAsia="en-US"/>
    </w:rPr>
  </w:style>
  <w:style w:type="character" w:styleId="Hyperlink">
    <w:name w:val="Hyperlink"/>
    <w:basedOn w:val="Standardskrifttypeiafsnit"/>
    <w:uiPriority w:val="99"/>
    <w:unhideWhenUsed/>
    <w:rsid w:val="00781CBD"/>
    <w:rPr>
      <w:color w:val="99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hl@ftnet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7C49-E9C6-481B-A500-6AD325BF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326</TotalTime>
  <Pages>2</Pages>
  <Words>252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JHL</dc:creator>
  <cp:lastModifiedBy>JHL</cp:lastModifiedBy>
  <cp:revision>8</cp:revision>
  <cp:lastPrinted>2002-07-26T09:51:00Z</cp:lastPrinted>
  <dcterms:created xsi:type="dcterms:W3CDTF">2015-07-01T13:12:00Z</dcterms:created>
  <dcterms:modified xsi:type="dcterms:W3CDTF">2015-07-03T10:29:00Z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>1. juli 2015</vt:lpwstr>
  </property>
  <property fmtid="{D5CDD505-2E9C-101B-9397-08002B2CF9AE}" pid="7" name="PJournalNr">
    <vt:lpwstr/>
  </property>
  <property fmtid="{D5CDD505-2E9C-101B-9397-08002B2CF9AE}" pid="8" name="PEmne">
    <vt:lpwstr/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>jhl</vt:lpwstr>
  </property>
  <property fmtid="{D5CDD505-2E9C-101B-9397-08002B2CF9AE}" pid="14" name="Bilag">
    <vt:i4>0</vt:i4>
  </property>
  <property fmtid="{D5CDD505-2E9C-101B-9397-08002B2CF9AE}" pid="15" name="Kontor">
    <vt:lpwstr/>
  </property>
  <property fmtid="{D5CDD505-2E9C-101B-9397-08002B2CF9AE}" pid="16" name="Diverse">
    <vt:lpwstr/>
  </property>
</Properties>
</file>