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AC804" w14:textId="77777777" w:rsidR="009F5C82" w:rsidRDefault="009F5C82" w:rsidP="00486B73">
      <w:pPr>
        <w:framePr w:h="8505" w:hRule="exact" w:hSpace="142" w:wrap="around" w:vAnchor="text" w:hAnchor="page" w:x="8931" w:y="1" w:anchorLock="1"/>
        <w:spacing w:line="220" w:lineRule="exact"/>
        <w:jc w:val="left"/>
        <w:rPr>
          <w:sz w:val="16"/>
          <w:szCs w:val="16"/>
        </w:rPr>
      </w:pPr>
      <w:bookmarkStart w:id="0" w:name="_GoBack"/>
      <w:bookmarkEnd w:id="0"/>
    </w:p>
    <w:p w14:paraId="1888E0AD" w14:textId="08412F95" w:rsidR="00486B73" w:rsidRDefault="00713330" w:rsidP="00486B73">
      <w:pPr>
        <w:framePr w:h="8505" w:hRule="exact" w:hSpace="142" w:wrap="around" w:vAnchor="text" w:hAnchor="page" w:x="8931" w:y="1" w:anchorLock="1"/>
        <w:spacing w:line="220" w:lineRule="exact"/>
        <w:jc w:val="left"/>
        <w:rPr>
          <w:sz w:val="16"/>
          <w:szCs w:val="16"/>
        </w:rPr>
      </w:pPr>
      <w:r>
        <w:rPr>
          <w:sz w:val="16"/>
          <w:szCs w:val="16"/>
        </w:rPr>
        <w:t>2</w:t>
      </w:r>
      <w:r w:rsidR="006B704A">
        <w:rPr>
          <w:sz w:val="16"/>
          <w:szCs w:val="16"/>
        </w:rPr>
        <w:t>4</w:t>
      </w:r>
      <w:r w:rsidR="00486B73">
        <w:rPr>
          <w:sz w:val="16"/>
          <w:szCs w:val="16"/>
        </w:rPr>
        <w:t xml:space="preserve">. </w:t>
      </w:r>
      <w:r>
        <w:rPr>
          <w:sz w:val="16"/>
          <w:szCs w:val="16"/>
        </w:rPr>
        <w:t xml:space="preserve">februar </w:t>
      </w:r>
      <w:r w:rsidR="00486B73">
        <w:rPr>
          <w:sz w:val="16"/>
          <w:szCs w:val="16"/>
        </w:rPr>
        <w:t>20</w:t>
      </w:r>
      <w:r>
        <w:rPr>
          <w:sz w:val="16"/>
          <w:szCs w:val="16"/>
        </w:rPr>
        <w:t>20</w:t>
      </w:r>
    </w:p>
    <w:p w14:paraId="56200053" w14:textId="77777777" w:rsidR="00486B73" w:rsidRDefault="00486B73" w:rsidP="00486B73">
      <w:pPr>
        <w:framePr w:h="8505" w:hRule="exact" w:hSpace="142" w:wrap="around" w:vAnchor="text" w:hAnchor="page" w:x="8931" w:y="1" w:anchorLock="1"/>
        <w:spacing w:line="220" w:lineRule="exact"/>
        <w:jc w:val="left"/>
        <w:rPr>
          <w:sz w:val="16"/>
          <w:szCs w:val="16"/>
        </w:rPr>
      </w:pPr>
    </w:p>
    <w:p w14:paraId="24B941D4" w14:textId="77777777" w:rsidR="00486B73" w:rsidRDefault="00486B73" w:rsidP="00486B73">
      <w:pPr>
        <w:framePr w:h="8505" w:hRule="exact" w:hSpace="142" w:wrap="around" w:vAnchor="text" w:hAnchor="page" w:x="8931" w:y="1" w:anchorLock="1"/>
        <w:spacing w:line="220" w:lineRule="exact"/>
        <w:jc w:val="left"/>
        <w:rPr>
          <w:sz w:val="16"/>
          <w:szCs w:val="16"/>
        </w:rPr>
      </w:pPr>
      <w:r>
        <w:rPr>
          <w:sz w:val="16"/>
          <w:szCs w:val="16"/>
        </w:rPr>
        <w:t>Ref.  Bank2</w:t>
      </w:r>
    </w:p>
    <w:p w14:paraId="7FD7F6B3" w14:textId="079BB4A1" w:rsidR="00486B73" w:rsidRDefault="00486B73" w:rsidP="00486B73">
      <w:pPr>
        <w:framePr w:h="8505" w:hRule="exact" w:hSpace="142" w:wrap="around" w:vAnchor="text" w:hAnchor="page" w:x="8931" w:y="1" w:anchorLock="1"/>
      </w:pPr>
    </w:p>
    <w:p w14:paraId="7B6D3B08" w14:textId="287EAB1A" w:rsidR="00486B73" w:rsidRDefault="00486B73" w:rsidP="00486B73">
      <w:pPr>
        <w:framePr w:h="8505" w:hRule="exact" w:hSpace="142" w:wrap="around" w:vAnchor="text" w:hAnchor="page" w:x="8931" w:y="1" w:anchorLock="1"/>
      </w:pPr>
    </w:p>
    <w:p w14:paraId="1E76CE67" w14:textId="4ED9039C" w:rsidR="00486B73" w:rsidRDefault="00486B73" w:rsidP="00486B73">
      <w:pPr>
        <w:framePr w:h="8505" w:hRule="exact" w:hSpace="142" w:wrap="around" w:vAnchor="text" w:hAnchor="page" w:x="8931" w:y="1" w:anchorLock="1"/>
      </w:pPr>
    </w:p>
    <w:p w14:paraId="766C485E" w14:textId="088977B8" w:rsidR="00486B73" w:rsidRDefault="00486B73" w:rsidP="00486B73">
      <w:pPr>
        <w:framePr w:h="8505" w:hRule="exact" w:hSpace="142" w:wrap="around" w:vAnchor="text" w:hAnchor="page" w:x="8931" w:y="1" w:anchorLock="1"/>
      </w:pPr>
    </w:p>
    <w:p w14:paraId="1CC287B1" w14:textId="620D6E4E" w:rsidR="00486B73" w:rsidRDefault="00486B73" w:rsidP="00486B73">
      <w:pPr>
        <w:framePr w:h="8505" w:hRule="exact" w:hSpace="142" w:wrap="around" w:vAnchor="text" w:hAnchor="page" w:x="8931" w:y="1" w:anchorLock="1"/>
      </w:pPr>
    </w:p>
    <w:p w14:paraId="384D8B1E" w14:textId="77777777" w:rsidR="00486B73" w:rsidRDefault="00486B73" w:rsidP="00486B73">
      <w:pPr>
        <w:framePr w:h="8505" w:hRule="exact" w:hSpace="142" w:wrap="around" w:vAnchor="text" w:hAnchor="page" w:x="8931" w:y="1" w:anchorLock="1"/>
      </w:pPr>
    </w:p>
    <w:p w14:paraId="3EBCA2C8" w14:textId="65BDAEAB" w:rsidR="00486B73" w:rsidRDefault="00486B73" w:rsidP="00486B73">
      <w:pPr>
        <w:framePr w:h="8505" w:hRule="exact" w:hSpace="142" w:wrap="around" w:vAnchor="text" w:hAnchor="page" w:x="8931" w:y="1" w:anchorLock="1"/>
      </w:pPr>
    </w:p>
    <w:p w14:paraId="38E2B20F" w14:textId="6BD5BE6A" w:rsidR="00486B73" w:rsidRDefault="00486B73" w:rsidP="00486B73">
      <w:pPr>
        <w:framePr w:h="8505" w:hRule="exact" w:hSpace="142" w:wrap="around" w:vAnchor="text" w:hAnchor="page" w:x="8931" w:y="1" w:anchorLock="1"/>
      </w:pPr>
    </w:p>
    <w:p w14:paraId="01F6E7F7" w14:textId="782DA127" w:rsidR="00486B73" w:rsidRDefault="00486B73" w:rsidP="00486B73">
      <w:pPr>
        <w:framePr w:h="8505" w:hRule="exact" w:hSpace="142" w:wrap="around" w:vAnchor="text" w:hAnchor="page" w:x="8931" w:y="1" w:anchorLock="1"/>
      </w:pPr>
    </w:p>
    <w:p w14:paraId="098C5EBE" w14:textId="2586271D" w:rsidR="00486B73" w:rsidRDefault="00486B73" w:rsidP="00486B73">
      <w:pPr>
        <w:framePr w:h="8505" w:hRule="exact" w:hSpace="142" w:wrap="around" w:vAnchor="text" w:hAnchor="page" w:x="8931" w:y="1" w:anchorLock="1"/>
      </w:pPr>
    </w:p>
    <w:p w14:paraId="2697506A" w14:textId="15F4B3EC" w:rsidR="00486B73" w:rsidRDefault="00486B73" w:rsidP="00486B73">
      <w:pPr>
        <w:framePr w:h="8505" w:hRule="exact" w:hSpace="142" w:wrap="around" w:vAnchor="text" w:hAnchor="page" w:x="8931" w:y="1" w:anchorLock="1"/>
      </w:pPr>
    </w:p>
    <w:p w14:paraId="53FC59DC" w14:textId="7261FEDB" w:rsidR="00486B73" w:rsidRDefault="00486B73" w:rsidP="00486B73">
      <w:pPr>
        <w:framePr w:h="8505" w:hRule="exact" w:hSpace="142" w:wrap="around" w:vAnchor="text" w:hAnchor="page" w:x="8931" w:y="1" w:anchorLock="1"/>
      </w:pPr>
    </w:p>
    <w:tbl>
      <w:tblPr>
        <w:tblW w:w="0" w:type="auto"/>
        <w:tblLayout w:type="fixed"/>
        <w:tblCellMar>
          <w:left w:w="70" w:type="dxa"/>
          <w:right w:w="70" w:type="dxa"/>
        </w:tblCellMar>
        <w:tblLook w:val="0000" w:firstRow="0" w:lastRow="0" w:firstColumn="0" w:lastColumn="0" w:noHBand="0" w:noVBand="0"/>
      </w:tblPr>
      <w:tblGrid>
        <w:gridCol w:w="2408"/>
      </w:tblGrid>
      <w:tr w:rsidR="00163A8D" w14:paraId="65AA472B" w14:textId="77777777">
        <w:trPr>
          <w:trHeight w:hRule="exact" w:val="2835"/>
        </w:trPr>
        <w:tc>
          <w:tcPr>
            <w:tcW w:w="2408" w:type="dxa"/>
            <w:tcBorders>
              <w:bottom w:val="nil"/>
            </w:tcBorders>
          </w:tcPr>
          <w:p w14:paraId="0572E68C" w14:textId="77777777" w:rsidR="00486B73" w:rsidRDefault="00486B73" w:rsidP="00486B73">
            <w:pPr>
              <w:framePr w:h="8505" w:hRule="exact" w:hSpace="142" w:wrap="around" w:vAnchor="text" w:hAnchor="page" w:x="8931" w:y="1" w:anchorLock="1"/>
              <w:spacing w:line="220" w:lineRule="exact"/>
              <w:jc w:val="left"/>
              <w:rPr>
                <w:sz w:val="16"/>
                <w:szCs w:val="16"/>
              </w:rPr>
            </w:pPr>
            <w:r w:rsidRPr="00ED54CB">
              <w:rPr>
                <w:rFonts w:ascii="Arial Black" w:hAnsi="Arial Black"/>
                <w:sz w:val="13"/>
                <w:szCs w:val="13"/>
              </w:rPr>
              <w:t>FINANSTILSYNET</w:t>
            </w:r>
          </w:p>
          <w:p w14:paraId="2403384B" w14:textId="77777777" w:rsidR="00486B73" w:rsidRPr="000F3B74" w:rsidRDefault="00486B73" w:rsidP="00486B73">
            <w:pPr>
              <w:framePr w:h="8505" w:hRule="exact" w:hSpace="142" w:wrap="around" w:vAnchor="text" w:hAnchor="page" w:x="8931" w:y="1" w:anchorLock="1"/>
              <w:spacing w:line="220" w:lineRule="exact"/>
              <w:jc w:val="left"/>
              <w:rPr>
                <w:sz w:val="16"/>
                <w:szCs w:val="16"/>
              </w:rPr>
            </w:pPr>
            <w:r w:rsidRPr="000F3B74">
              <w:rPr>
                <w:sz w:val="16"/>
                <w:szCs w:val="16"/>
              </w:rPr>
              <w:t>Århusgade 110</w:t>
            </w:r>
          </w:p>
          <w:p w14:paraId="2A935365" w14:textId="77777777" w:rsidR="00486B73" w:rsidRPr="000F3B74" w:rsidRDefault="00486B73" w:rsidP="00486B73">
            <w:pPr>
              <w:framePr w:h="8505" w:hRule="exact" w:hSpace="142" w:wrap="around" w:vAnchor="text" w:hAnchor="page" w:x="8931" w:y="1" w:anchorLock="1"/>
              <w:spacing w:line="220" w:lineRule="exact"/>
              <w:jc w:val="left"/>
              <w:rPr>
                <w:sz w:val="16"/>
                <w:szCs w:val="16"/>
              </w:rPr>
            </w:pPr>
            <w:r w:rsidRPr="000F3B74">
              <w:rPr>
                <w:sz w:val="16"/>
                <w:szCs w:val="16"/>
              </w:rPr>
              <w:t>2100 København Ø</w:t>
            </w:r>
          </w:p>
          <w:p w14:paraId="70F32271" w14:textId="77777777" w:rsidR="00486B73" w:rsidRDefault="00486B73" w:rsidP="00486B73">
            <w:pPr>
              <w:framePr w:h="8505" w:hRule="exact" w:hSpace="142" w:wrap="around" w:vAnchor="text" w:hAnchor="page" w:x="8931" w:y="1" w:anchorLock="1"/>
              <w:spacing w:line="220" w:lineRule="exact"/>
              <w:jc w:val="left"/>
              <w:rPr>
                <w:sz w:val="16"/>
                <w:szCs w:val="16"/>
              </w:rPr>
            </w:pPr>
          </w:p>
          <w:p w14:paraId="3A7D3BF4" w14:textId="77777777" w:rsidR="00486B73" w:rsidRPr="000E77E6"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0E77E6">
              <w:rPr>
                <w:sz w:val="16"/>
                <w:szCs w:val="16"/>
              </w:rPr>
              <w:t xml:space="preserve">Tlf. </w:t>
            </w:r>
            <w:r w:rsidRPr="000E77E6">
              <w:rPr>
                <w:sz w:val="16"/>
                <w:szCs w:val="16"/>
              </w:rPr>
              <w:tab/>
              <w:t>33</w:t>
            </w:r>
            <w:r w:rsidRPr="000E77E6">
              <w:rPr>
                <w:sz w:val="16"/>
                <w:szCs w:val="16"/>
              </w:rPr>
              <w:tab/>
              <w:t>55</w:t>
            </w:r>
            <w:r w:rsidRPr="000E77E6">
              <w:rPr>
                <w:sz w:val="16"/>
                <w:szCs w:val="16"/>
              </w:rPr>
              <w:tab/>
              <w:t>82</w:t>
            </w:r>
            <w:r w:rsidRPr="000E77E6">
              <w:rPr>
                <w:sz w:val="16"/>
                <w:szCs w:val="16"/>
              </w:rPr>
              <w:tab/>
              <w:t>82</w:t>
            </w:r>
          </w:p>
          <w:p w14:paraId="7171DB46" w14:textId="77777777" w:rsidR="00486B73" w:rsidRPr="000E77E6"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0E77E6">
              <w:rPr>
                <w:sz w:val="16"/>
                <w:szCs w:val="16"/>
              </w:rPr>
              <w:t>Fax</w:t>
            </w:r>
            <w:r w:rsidRPr="000E77E6">
              <w:rPr>
                <w:sz w:val="16"/>
                <w:szCs w:val="16"/>
              </w:rPr>
              <w:tab/>
              <w:t>33</w:t>
            </w:r>
            <w:r w:rsidRPr="000E77E6">
              <w:rPr>
                <w:sz w:val="16"/>
                <w:szCs w:val="16"/>
              </w:rPr>
              <w:tab/>
              <w:t>55</w:t>
            </w:r>
            <w:r w:rsidRPr="000E77E6">
              <w:rPr>
                <w:sz w:val="16"/>
                <w:szCs w:val="16"/>
              </w:rPr>
              <w:tab/>
              <w:t>82</w:t>
            </w:r>
            <w:r w:rsidRPr="000E77E6">
              <w:rPr>
                <w:sz w:val="16"/>
                <w:szCs w:val="16"/>
              </w:rPr>
              <w:tab/>
              <w:t>00</w:t>
            </w:r>
          </w:p>
          <w:p w14:paraId="37F61241" w14:textId="77777777" w:rsidR="00486B73" w:rsidRPr="000E77E6"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0E77E6">
              <w:rPr>
                <w:sz w:val="16"/>
                <w:szCs w:val="16"/>
              </w:rPr>
              <w:t>CVR-nr.</w:t>
            </w:r>
            <w:r w:rsidRPr="000E77E6">
              <w:rPr>
                <w:sz w:val="16"/>
                <w:szCs w:val="16"/>
              </w:rPr>
              <w:tab/>
              <w:t>10</w:t>
            </w:r>
            <w:r w:rsidRPr="000E77E6">
              <w:rPr>
                <w:sz w:val="16"/>
                <w:szCs w:val="16"/>
              </w:rPr>
              <w:tab/>
              <w:t>59</w:t>
            </w:r>
            <w:r w:rsidRPr="000E77E6">
              <w:rPr>
                <w:sz w:val="16"/>
                <w:szCs w:val="16"/>
              </w:rPr>
              <w:tab/>
              <w:t>81</w:t>
            </w:r>
            <w:r w:rsidRPr="000E77E6">
              <w:rPr>
                <w:sz w:val="16"/>
                <w:szCs w:val="16"/>
              </w:rPr>
              <w:tab/>
              <w:t>84</w:t>
            </w:r>
          </w:p>
          <w:p w14:paraId="76270AF9" w14:textId="77777777" w:rsidR="00486B73" w:rsidRPr="000E77E6"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r w:rsidRPr="000E77E6">
              <w:rPr>
                <w:sz w:val="16"/>
                <w:szCs w:val="16"/>
              </w:rPr>
              <w:t>finanstilsynet@ftnet.dk</w:t>
            </w:r>
          </w:p>
          <w:p w14:paraId="52DCD79C"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r w:rsidRPr="00C8786C">
              <w:rPr>
                <w:sz w:val="16"/>
                <w:szCs w:val="16"/>
              </w:rPr>
              <w:t>www.finanstilsynet.dk</w:t>
            </w:r>
          </w:p>
          <w:p w14:paraId="7D485DE6"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5C4745C7"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354CBBA2"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5BC7159C"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p>
          <w:p w14:paraId="7F94E0C1"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r>
              <w:rPr>
                <w:rFonts w:ascii="Arial Black" w:hAnsi="Arial Black"/>
                <w:smallCaps/>
                <w:sz w:val="12"/>
                <w:szCs w:val="12"/>
              </w:rPr>
              <w:t>erhvervsministeriet</w:t>
            </w:r>
          </w:p>
          <w:p w14:paraId="0D7F3936" w14:textId="77777777" w:rsidR="00486B73" w:rsidRPr="00193ABA"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p>
          <w:p w14:paraId="1ED8B168"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r w:rsidRPr="00486B73">
              <w:rPr>
                <w:sz w:val="16"/>
                <w:szCs w:val="16"/>
              </w:rPr>
              <w:t>15. juni 2018</w:t>
            </w:r>
          </w:p>
          <w:p w14:paraId="7A1AB367"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p>
          <w:p w14:paraId="6D616157"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r w:rsidRPr="00486B73">
              <w:rPr>
                <w:sz w:val="16"/>
                <w:szCs w:val="16"/>
              </w:rPr>
              <w:t xml:space="preserve">Ref.  </w:t>
            </w:r>
            <w:bookmarkStart w:id="1" w:name="ref"/>
            <w:bookmarkEnd w:id="1"/>
            <w:r w:rsidRPr="00486B73">
              <w:rPr>
                <w:sz w:val="16"/>
                <w:szCs w:val="16"/>
              </w:rPr>
              <w:t>Bank2</w:t>
            </w:r>
          </w:p>
          <w:p w14:paraId="4BE0283D"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p>
          <w:p w14:paraId="717479B5" w14:textId="77777777" w:rsidR="00486B73" w:rsidRPr="00486B73" w:rsidRDefault="00486B73" w:rsidP="00486B73">
            <w:pPr>
              <w:framePr w:h="8505" w:hRule="exact" w:hSpace="142" w:wrap="around" w:vAnchor="text" w:hAnchor="page" w:x="8931" w:y="1" w:anchorLock="1"/>
              <w:spacing w:line="1900" w:lineRule="exact"/>
              <w:jc w:val="left"/>
              <w:rPr>
                <w:sz w:val="16"/>
                <w:szCs w:val="16"/>
              </w:rPr>
            </w:pPr>
          </w:p>
          <w:p w14:paraId="1C6E14E2"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r w:rsidRPr="00486B73">
              <w:rPr>
                <w:rFonts w:ascii="Arial Black" w:hAnsi="Arial Black"/>
                <w:sz w:val="13"/>
                <w:szCs w:val="13"/>
              </w:rPr>
              <w:t>FINANSTILSYNET</w:t>
            </w:r>
          </w:p>
          <w:p w14:paraId="4623ECF4"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r w:rsidRPr="00486B73">
              <w:rPr>
                <w:sz w:val="16"/>
                <w:szCs w:val="16"/>
              </w:rPr>
              <w:t>Århusgade 110</w:t>
            </w:r>
          </w:p>
          <w:p w14:paraId="6B463816"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r w:rsidRPr="00486B73">
              <w:rPr>
                <w:sz w:val="16"/>
                <w:szCs w:val="16"/>
              </w:rPr>
              <w:t>2100 København Ø</w:t>
            </w:r>
          </w:p>
          <w:p w14:paraId="7FE28FF6" w14:textId="77777777" w:rsidR="00486B73" w:rsidRPr="00486B73" w:rsidRDefault="00486B73" w:rsidP="00486B73">
            <w:pPr>
              <w:framePr w:h="8505" w:hRule="exact" w:hSpace="142" w:wrap="around" w:vAnchor="text" w:hAnchor="page" w:x="8931" w:y="1" w:anchorLock="1"/>
              <w:spacing w:line="220" w:lineRule="exact"/>
              <w:jc w:val="left"/>
              <w:rPr>
                <w:sz w:val="16"/>
                <w:szCs w:val="16"/>
              </w:rPr>
            </w:pPr>
          </w:p>
          <w:p w14:paraId="31B9C6D4" w14:textId="77777777" w:rsidR="00486B73" w:rsidRPr="00713330"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lang w:val="en-US"/>
              </w:rPr>
            </w:pPr>
            <w:proofErr w:type="spellStart"/>
            <w:r w:rsidRPr="00713330">
              <w:rPr>
                <w:sz w:val="16"/>
                <w:szCs w:val="16"/>
                <w:lang w:val="en-US"/>
              </w:rPr>
              <w:t>Tlf</w:t>
            </w:r>
            <w:proofErr w:type="spellEnd"/>
            <w:r w:rsidRPr="00713330">
              <w:rPr>
                <w:sz w:val="16"/>
                <w:szCs w:val="16"/>
                <w:lang w:val="en-US"/>
              </w:rPr>
              <w:t xml:space="preserve">. </w:t>
            </w:r>
            <w:r w:rsidRPr="00713330">
              <w:rPr>
                <w:sz w:val="16"/>
                <w:szCs w:val="16"/>
                <w:lang w:val="en-US"/>
              </w:rPr>
              <w:tab/>
              <w:t>33</w:t>
            </w:r>
            <w:r w:rsidRPr="00713330">
              <w:rPr>
                <w:sz w:val="16"/>
                <w:szCs w:val="16"/>
                <w:lang w:val="en-US"/>
              </w:rPr>
              <w:tab/>
              <w:t>55</w:t>
            </w:r>
            <w:r w:rsidRPr="00713330">
              <w:rPr>
                <w:sz w:val="16"/>
                <w:szCs w:val="16"/>
                <w:lang w:val="en-US"/>
              </w:rPr>
              <w:tab/>
              <w:t>82</w:t>
            </w:r>
            <w:r w:rsidRPr="00713330">
              <w:rPr>
                <w:sz w:val="16"/>
                <w:szCs w:val="16"/>
                <w:lang w:val="en-US"/>
              </w:rPr>
              <w:tab/>
              <w:t>82</w:t>
            </w:r>
          </w:p>
          <w:p w14:paraId="3F0D9399" w14:textId="77777777" w:rsidR="00486B73" w:rsidRPr="00713330"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lang w:val="en-US"/>
              </w:rPr>
            </w:pPr>
            <w:r w:rsidRPr="00713330">
              <w:rPr>
                <w:sz w:val="16"/>
                <w:szCs w:val="16"/>
                <w:lang w:val="en-US"/>
              </w:rPr>
              <w:t>Fax</w:t>
            </w:r>
            <w:r w:rsidRPr="00713330">
              <w:rPr>
                <w:sz w:val="16"/>
                <w:szCs w:val="16"/>
                <w:lang w:val="en-US"/>
              </w:rPr>
              <w:tab/>
              <w:t>33</w:t>
            </w:r>
            <w:r w:rsidRPr="00713330">
              <w:rPr>
                <w:sz w:val="16"/>
                <w:szCs w:val="16"/>
                <w:lang w:val="en-US"/>
              </w:rPr>
              <w:tab/>
              <w:t>55</w:t>
            </w:r>
            <w:r w:rsidRPr="00713330">
              <w:rPr>
                <w:sz w:val="16"/>
                <w:szCs w:val="16"/>
                <w:lang w:val="en-US"/>
              </w:rPr>
              <w:tab/>
              <w:t>82</w:t>
            </w:r>
            <w:r w:rsidRPr="00713330">
              <w:rPr>
                <w:sz w:val="16"/>
                <w:szCs w:val="16"/>
                <w:lang w:val="en-US"/>
              </w:rPr>
              <w:tab/>
              <w:t>00</w:t>
            </w:r>
          </w:p>
          <w:p w14:paraId="06E43398" w14:textId="77777777" w:rsidR="00486B73" w:rsidRPr="00713330"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lang w:val="en-US"/>
              </w:rPr>
            </w:pPr>
            <w:r w:rsidRPr="00713330">
              <w:rPr>
                <w:sz w:val="16"/>
                <w:szCs w:val="16"/>
                <w:lang w:val="en-US"/>
              </w:rPr>
              <w:t>CVR-</w:t>
            </w:r>
            <w:proofErr w:type="spellStart"/>
            <w:r w:rsidRPr="00713330">
              <w:rPr>
                <w:sz w:val="16"/>
                <w:szCs w:val="16"/>
                <w:lang w:val="en-US"/>
              </w:rPr>
              <w:t>nr</w:t>
            </w:r>
            <w:proofErr w:type="spellEnd"/>
            <w:r w:rsidRPr="00713330">
              <w:rPr>
                <w:sz w:val="16"/>
                <w:szCs w:val="16"/>
                <w:lang w:val="en-US"/>
              </w:rPr>
              <w:t>.</w:t>
            </w:r>
            <w:r w:rsidRPr="00713330">
              <w:rPr>
                <w:sz w:val="16"/>
                <w:szCs w:val="16"/>
                <w:lang w:val="en-US"/>
              </w:rPr>
              <w:tab/>
              <w:t>10</w:t>
            </w:r>
            <w:r w:rsidRPr="00713330">
              <w:rPr>
                <w:sz w:val="16"/>
                <w:szCs w:val="16"/>
                <w:lang w:val="en-US"/>
              </w:rPr>
              <w:tab/>
              <w:t>59</w:t>
            </w:r>
            <w:r w:rsidRPr="00713330">
              <w:rPr>
                <w:sz w:val="16"/>
                <w:szCs w:val="16"/>
                <w:lang w:val="en-US"/>
              </w:rPr>
              <w:tab/>
              <w:t>81</w:t>
            </w:r>
            <w:r w:rsidRPr="00713330">
              <w:rPr>
                <w:sz w:val="16"/>
                <w:szCs w:val="16"/>
                <w:lang w:val="en-US"/>
              </w:rPr>
              <w:tab/>
              <w:t>84</w:t>
            </w:r>
          </w:p>
          <w:p w14:paraId="7B9C0DFB" w14:textId="77777777" w:rsidR="00486B73" w:rsidRPr="00713330"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lang w:val="en-US"/>
              </w:rPr>
            </w:pPr>
            <w:r w:rsidRPr="00713330">
              <w:rPr>
                <w:sz w:val="16"/>
                <w:szCs w:val="16"/>
                <w:lang w:val="en-US"/>
              </w:rPr>
              <w:t>finanstilsynet@ftnet.dk</w:t>
            </w:r>
          </w:p>
          <w:p w14:paraId="2CD14621" w14:textId="77777777" w:rsidR="00486B73" w:rsidRPr="00713330"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lang w:val="en-US"/>
              </w:rPr>
            </w:pPr>
            <w:r w:rsidRPr="00713330">
              <w:rPr>
                <w:sz w:val="16"/>
                <w:szCs w:val="16"/>
                <w:lang w:val="en-US"/>
              </w:rPr>
              <w:t>www.finanstilsynet.dk</w:t>
            </w:r>
          </w:p>
          <w:p w14:paraId="737C21D9" w14:textId="77777777" w:rsidR="00486B73" w:rsidRPr="00713330"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lang w:val="en-US"/>
              </w:rPr>
            </w:pPr>
          </w:p>
          <w:p w14:paraId="7C2B7512" w14:textId="77777777" w:rsidR="00486B73" w:rsidRPr="00713330"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lang w:val="en-US"/>
              </w:rPr>
            </w:pPr>
          </w:p>
          <w:p w14:paraId="2A371B77" w14:textId="77777777" w:rsidR="00486B73" w:rsidRPr="00713330"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lang w:val="en-US"/>
              </w:rPr>
            </w:pPr>
          </w:p>
          <w:p w14:paraId="1F257BAD" w14:textId="77777777" w:rsidR="00486B73" w:rsidRPr="00713330"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lang w:val="en-US"/>
              </w:rPr>
            </w:pPr>
          </w:p>
          <w:p w14:paraId="7C064E59" w14:textId="77777777" w:rsidR="00486B73" w:rsidRPr="00713330"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lang w:val="en-US"/>
              </w:rPr>
            </w:pPr>
            <w:proofErr w:type="spellStart"/>
            <w:r w:rsidRPr="00713330">
              <w:rPr>
                <w:rFonts w:ascii="Arial Black" w:hAnsi="Arial Black"/>
                <w:smallCaps/>
                <w:sz w:val="12"/>
                <w:szCs w:val="12"/>
                <w:lang w:val="en-US"/>
              </w:rPr>
              <w:t>erhvervsministeriet</w:t>
            </w:r>
            <w:proofErr w:type="spellEnd"/>
          </w:p>
          <w:p w14:paraId="18F89682" w14:textId="77777777" w:rsidR="00486B73" w:rsidRPr="00713330"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lang w:val="en-US"/>
              </w:rPr>
            </w:pPr>
          </w:p>
          <w:p w14:paraId="01F920BD" w14:textId="77777777" w:rsidR="00486B73" w:rsidRPr="00713330" w:rsidRDefault="00486B73" w:rsidP="00486B73">
            <w:pPr>
              <w:framePr w:h="8505" w:hRule="exact" w:hSpace="142" w:wrap="around" w:vAnchor="text" w:hAnchor="page" w:x="8931" w:y="1" w:anchorLock="1"/>
              <w:spacing w:line="220" w:lineRule="exact"/>
              <w:jc w:val="left"/>
              <w:rPr>
                <w:sz w:val="16"/>
                <w:szCs w:val="16"/>
                <w:lang w:val="en-US"/>
              </w:rPr>
            </w:pPr>
            <w:r w:rsidRPr="00713330">
              <w:rPr>
                <w:rFonts w:ascii="Arial Black" w:hAnsi="Arial Black"/>
                <w:sz w:val="13"/>
                <w:szCs w:val="13"/>
                <w:lang w:val="en-US"/>
              </w:rPr>
              <w:t>FINANSTILSYNET</w:t>
            </w:r>
          </w:p>
          <w:p w14:paraId="4D69A9F6" w14:textId="77777777" w:rsidR="00486B73" w:rsidRPr="00713330" w:rsidRDefault="00486B73" w:rsidP="00486B73">
            <w:pPr>
              <w:framePr w:h="8505" w:hRule="exact" w:hSpace="142" w:wrap="around" w:vAnchor="text" w:hAnchor="page" w:x="8931" w:y="1" w:anchorLock="1"/>
              <w:spacing w:line="220" w:lineRule="exact"/>
              <w:jc w:val="left"/>
              <w:rPr>
                <w:sz w:val="16"/>
                <w:szCs w:val="16"/>
                <w:lang w:val="en-US"/>
              </w:rPr>
            </w:pPr>
            <w:proofErr w:type="spellStart"/>
            <w:r w:rsidRPr="00713330">
              <w:rPr>
                <w:sz w:val="16"/>
                <w:szCs w:val="16"/>
                <w:lang w:val="en-US"/>
              </w:rPr>
              <w:t>Århusgade</w:t>
            </w:r>
            <w:proofErr w:type="spellEnd"/>
            <w:r w:rsidRPr="00713330">
              <w:rPr>
                <w:sz w:val="16"/>
                <w:szCs w:val="16"/>
                <w:lang w:val="en-US"/>
              </w:rPr>
              <w:t xml:space="preserve"> 110</w:t>
            </w:r>
          </w:p>
          <w:p w14:paraId="69AA0ECA" w14:textId="77777777" w:rsidR="00486B73" w:rsidRPr="000F3B74" w:rsidRDefault="00486B73" w:rsidP="00486B73">
            <w:pPr>
              <w:framePr w:h="8505" w:hRule="exact" w:hSpace="142" w:wrap="around" w:vAnchor="text" w:hAnchor="page" w:x="8931" w:y="1" w:anchorLock="1"/>
              <w:spacing w:line="220" w:lineRule="exact"/>
              <w:jc w:val="left"/>
              <w:rPr>
                <w:sz w:val="16"/>
                <w:szCs w:val="16"/>
              </w:rPr>
            </w:pPr>
            <w:r w:rsidRPr="000F3B74">
              <w:rPr>
                <w:sz w:val="16"/>
                <w:szCs w:val="16"/>
              </w:rPr>
              <w:t>2100 København Ø</w:t>
            </w:r>
          </w:p>
          <w:p w14:paraId="3C063812" w14:textId="77777777" w:rsidR="00486B73" w:rsidRDefault="00486B73" w:rsidP="00486B73">
            <w:pPr>
              <w:framePr w:h="8505" w:hRule="exact" w:hSpace="142" w:wrap="around" w:vAnchor="text" w:hAnchor="page" w:x="8931" w:y="1" w:anchorLock="1"/>
              <w:spacing w:line="220" w:lineRule="exact"/>
              <w:jc w:val="left"/>
              <w:rPr>
                <w:sz w:val="16"/>
                <w:szCs w:val="16"/>
              </w:rPr>
            </w:pPr>
          </w:p>
          <w:p w14:paraId="55A1D877" w14:textId="77777777" w:rsidR="00486B73" w:rsidRPr="000E77E6"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0E77E6">
              <w:rPr>
                <w:sz w:val="16"/>
                <w:szCs w:val="16"/>
              </w:rPr>
              <w:t xml:space="preserve">Tlf. </w:t>
            </w:r>
            <w:r w:rsidRPr="000E77E6">
              <w:rPr>
                <w:sz w:val="16"/>
                <w:szCs w:val="16"/>
              </w:rPr>
              <w:tab/>
              <w:t>33</w:t>
            </w:r>
            <w:r w:rsidRPr="000E77E6">
              <w:rPr>
                <w:sz w:val="16"/>
                <w:szCs w:val="16"/>
              </w:rPr>
              <w:tab/>
              <w:t>55</w:t>
            </w:r>
            <w:r w:rsidRPr="000E77E6">
              <w:rPr>
                <w:sz w:val="16"/>
                <w:szCs w:val="16"/>
              </w:rPr>
              <w:tab/>
              <w:t>82</w:t>
            </w:r>
            <w:r w:rsidRPr="000E77E6">
              <w:rPr>
                <w:sz w:val="16"/>
                <w:szCs w:val="16"/>
              </w:rPr>
              <w:tab/>
              <w:t>82</w:t>
            </w:r>
          </w:p>
          <w:p w14:paraId="3CFA2379" w14:textId="77777777" w:rsidR="00486B73" w:rsidRPr="000E77E6"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0E77E6">
              <w:rPr>
                <w:sz w:val="16"/>
                <w:szCs w:val="16"/>
              </w:rPr>
              <w:t>Fax</w:t>
            </w:r>
            <w:r w:rsidRPr="000E77E6">
              <w:rPr>
                <w:sz w:val="16"/>
                <w:szCs w:val="16"/>
              </w:rPr>
              <w:tab/>
              <w:t>33</w:t>
            </w:r>
            <w:r w:rsidRPr="000E77E6">
              <w:rPr>
                <w:sz w:val="16"/>
                <w:szCs w:val="16"/>
              </w:rPr>
              <w:tab/>
              <w:t>55</w:t>
            </w:r>
            <w:r w:rsidRPr="000E77E6">
              <w:rPr>
                <w:sz w:val="16"/>
                <w:szCs w:val="16"/>
              </w:rPr>
              <w:tab/>
              <w:t>82</w:t>
            </w:r>
            <w:r w:rsidRPr="000E77E6">
              <w:rPr>
                <w:sz w:val="16"/>
                <w:szCs w:val="16"/>
              </w:rPr>
              <w:tab/>
              <w:t>00</w:t>
            </w:r>
          </w:p>
          <w:p w14:paraId="632FB56B" w14:textId="77777777" w:rsidR="00486B73" w:rsidRPr="000E77E6" w:rsidRDefault="00486B73" w:rsidP="00486B73">
            <w:pPr>
              <w:framePr w:h="8505" w:hRule="exact" w:hSpace="142" w:wrap="around" w:vAnchor="text" w:hAnchor="page" w:x="8931" w:y="1" w:anchorLock="1"/>
              <w:tabs>
                <w:tab w:val="left" w:pos="709"/>
                <w:tab w:val="left" w:pos="936"/>
                <w:tab w:val="left" w:pos="1162"/>
                <w:tab w:val="left" w:pos="1389"/>
              </w:tabs>
              <w:spacing w:line="220" w:lineRule="exact"/>
              <w:jc w:val="left"/>
              <w:rPr>
                <w:sz w:val="16"/>
                <w:szCs w:val="16"/>
              </w:rPr>
            </w:pPr>
            <w:r w:rsidRPr="000E77E6">
              <w:rPr>
                <w:sz w:val="16"/>
                <w:szCs w:val="16"/>
              </w:rPr>
              <w:t>CVR-nr.</w:t>
            </w:r>
            <w:r w:rsidRPr="000E77E6">
              <w:rPr>
                <w:sz w:val="16"/>
                <w:szCs w:val="16"/>
              </w:rPr>
              <w:tab/>
              <w:t>10</w:t>
            </w:r>
            <w:r w:rsidRPr="000E77E6">
              <w:rPr>
                <w:sz w:val="16"/>
                <w:szCs w:val="16"/>
              </w:rPr>
              <w:tab/>
              <w:t>59</w:t>
            </w:r>
            <w:r w:rsidRPr="000E77E6">
              <w:rPr>
                <w:sz w:val="16"/>
                <w:szCs w:val="16"/>
              </w:rPr>
              <w:tab/>
              <w:t>81</w:t>
            </w:r>
            <w:r w:rsidRPr="000E77E6">
              <w:rPr>
                <w:sz w:val="16"/>
                <w:szCs w:val="16"/>
              </w:rPr>
              <w:tab/>
              <w:t>84</w:t>
            </w:r>
          </w:p>
          <w:p w14:paraId="384FA941" w14:textId="77777777" w:rsidR="00486B73" w:rsidRPr="000E77E6"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r w:rsidRPr="000E77E6">
              <w:rPr>
                <w:sz w:val="16"/>
                <w:szCs w:val="16"/>
              </w:rPr>
              <w:t>finanstilsynet@ftnet.dk</w:t>
            </w:r>
          </w:p>
          <w:p w14:paraId="631D0538"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r w:rsidRPr="00C8786C">
              <w:rPr>
                <w:sz w:val="16"/>
                <w:szCs w:val="16"/>
              </w:rPr>
              <w:t>www.finanstilsynet.dk</w:t>
            </w:r>
          </w:p>
          <w:p w14:paraId="6B5E10AE"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12B2CD2A"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707571BD"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sz w:val="16"/>
                <w:szCs w:val="16"/>
              </w:rPr>
            </w:pPr>
          </w:p>
          <w:p w14:paraId="64994350"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p>
          <w:p w14:paraId="66B84461" w14:textId="77777777" w:rsidR="00486B73"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r>
              <w:rPr>
                <w:rFonts w:ascii="Arial Black" w:hAnsi="Arial Black"/>
                <w:smallCaps/>
                <w:sz w:val="12"/>
                <w:szCs w:val="12"/>
              </w:rPr>
              <w:t>erhvervsministeriet</w:t>
            </w:r>
          </w:p>
          <w:p w14:paraId="462421CB" w14:textId="77777777" w:rsidR="00486B73" w:rsidRPr="00193ABA" w:rsidRDefault="00486B73" w:rsidP="00486B73">
            <w:pPr>
              <w:framePr w:h="8505" w:hRule="exact" w:hSpace="142" w:wrap="around" w:vAnchor="text" w:hAnchor="page" w:x="8931" w:y="1" w:anchorLock="1"/>
              <w:tabs>
                <w:tab w:val="left" w:pos="709"/>
                <w:tab w:val="left" w:pos="993"/>
                <w:tab w:val="left" w:pos="1276"/>
                <w:tab w:val="left" w:pos="1560"/>
              </w:tabs>
              <w:spacing w:line="220" w:lineRule="exact"/>
              <w:jc w:val="left"/>
              <w:rPr>
                <w:rFonts w:ascii="Arial Black" w:hAnsi="Arial Black"/>
                <w:smallCaps/>
                <w:sz w:val="12"/>
                <w:szCs w:val="12"/>
              </w:rPr>
            </w:pPr>
          </w:p>
          <w:p w14:paraId="6A428AF6" w14:textId="4002CFBE" w:rsidR="00C5465E" w:rsidRDefault="00C5465E" w:rsidP="002E6F9A">
            <w:pPr>
              <w:pStyle w:val="skakt"/>
              <w:keepNext/>
              <w:keepLines/>
              <w:framePr w:w="0" w:h="8505" w:hRule="exact" w:hSpace="142" w:wrap="around" w:vAnchor="text" w:x="8931" w:y="1"/>
              <w:jc w:val="left"/>
              <w:rPr>
                <w:sz w:val="16"/>
              </w:rPr>
            </w:pPr>
          </w:p>
          <w:p w14:paraId="15D9F575" w14:textId="77777777" w:rsidR="00163A8D" w:rsidRDefault="00163A8D">
            <w:pPr>
              <w:pStyle w:val="skakt"/>
              <w:keepNext/>
              <w:keepLines/>
              <w:framePr w:w="0" w:h="8505" w:hRule="exact" w:hSpace="142" w:wrap="around" w:vAnchor="text" w:x="8931" w:y="1"/>
            </w:pPr>
          </w:p>
        </w:tc>
      </w:tr>
    </w:tbl>
    <w:tbl>
      <w:tblPr>
        <w:tblW w:w="0" w:type="auto"/>
        <w:tblInd w:w="-8" w:type="dxa"/>
        <w:tblLayout w:type="fixed"/>
        <w:tblCellMar>
          <w:left w:w="0" w:type="dxa"/>
          <w:right w:w="0" w:type="dxa"/>
        </w:tblCellMar>
        <w:tblLook w:val="0000" w:firstRow="0" w:lastRow="0" w:firstColumn="0" w:lastColumn="0" w:noHBand="0" w:noVBand="0"/>
      </w:tblPr>
      <w:tblGrid>
        <w:gridCol w:w="7258"/>
      </w:tblGrid>
      <w:tr w:rsidR="00163A8D" w14:paraId="3140CF5B" w14:textId="77777777">
        <w:trPr>
          <w:cantSplit/>
          <w:trHeight w:val="2040"/>
        </w:trPr>
        <w:tc>
          <w:tcPr>
            <w:tcW w:w="7258" w:type="dxa"/>
          </w:tcPr>
          <w:p w14:paraId="50792944" w14:textId="77777777" w:rsidR="00163A8D" w:rsidRDefault="00163A8D"/>
          <w:p w14:paraId="5330FE14" w14:textId="77777777" w:rsidR="00163A8D" w:rsidRDefault="00163A8D"/>
          <w:p w14:paraId="19902015" w14:textId="77777777" w:rsidR="00163A8D" w:rsidRDefault="00163A8D">
            <w:bookmarkStart w:id="2" w:name="PCAmodtager"/>
            <w:bookmarkEnd w:id="2"/>
          </w:p>
          <w:p w14:paraId="492B7ECD" w14:textId="77777777" w:rsidR="00163A8D" w:rsidRDefault="00163A8D"/>
          <w:p w14:paraId="24AC48A7" w14:textId="77777777" w:rsidR="00163A8D" w:rsidRDefault="00163A8D"/>
          <w:p w14:paraId="006C01C5" w14:textId="77777777" w:rsidR="00163A8D" w:rsidRDefault="00163A8D"/>
          <w:p w14:paraId="4A8C808A" w14:textId="77777777" w:rsidR="00163A8D" w:rsidRDefault="00163A8D"/>
          <w:p w14:paraId="0B2BFACA" w14:textId="77777777" w:rsidR="00163A8D" w:rsidRDefault="00163A8D"/>
        </w:tc>
      </w:tr>
    </w:tbl>
    <w:p w14:paraId="1E5FA3D6" w14:textId="77777777" w:rsidR="00163A8D" w:rsidRDefault="0086588C" w:rsidP="00907B69">
      <w:pPr>
        <w:pStyle w:val="Overskrift1"/>
      </w:pPr>
      <w:r>
        <w:t xml:space="preserve">Finanstilsynets </w:t>
      </w:r>
      <w:proofErr w:type="spellStart"/>
      <w:r>
        <w:t>benchmark</w:t>
      </w:r>
      <w:proofErr w:type="spellEnd"/>
      <w:r>
        <w:t xml:space="preserve"> for fradragsfaktorer </w:t>
      </w:r>
    </w:p>
    <w:p w14:paraId="561D110C" w14:textId="77777777" w:rsidR="0086588C" w:rsidRPr="0086588C" w:rsidRDefault="0086588C" w:rsidP="0086588C">
      <w:pPr>
        <w:pStyle w:val="Brdtekst"/>
      </w:pPr>
    </w:p>
    <w:p w14:paraId="3423DE10" w14:textId="77777777" w:rsidR="00D354F1" w:rsidRPr="009F5C82" w:rsidRDefault="00B64BB0" w:rsidP="00103367">
      <w:pPr>
        <w:pStyle w:val="Underoverskrift"/>
      </w:pPr>
      <w:r w:rsidRPr="009F5C82">
        <w:t>Indledning</w:t>
      </w:r>
    </w:p>
    <w:p w14:paraId="5F0AEA72" w14:textId="195E1B2F" w:rsidR="00D354F1" w:rsidRDefault="00D354F1" w:rsidP="00D354F1">
      <w:pPr>
        <w:pStyle w:val="Brdtekst"/>
      </w:pPr>
      <w:r>
        <w:rPr>
          <w:rFonts w:cs="Arial"/>
          <w:color w:val="333333"/>
          <w:szCs w:val="21"/>
        </w:rPr>
        <w:t xml:space="preserve">Finanstilsynets </w:t>
      </w:r>
      <w:proofErr w:type="spellStart"/>
      <w:r>
        <w:rPr>
          <w:rFonts w:cs="Arial"/>
          <w:color w:val="333333"/>
          <w:szCs w:val="21"/>
        </w:rPr>
        <w:t>benchmark</w:t>
      </w:r>
      <w:proofErr w:type="spellEnd"/>
      <w:r>
        <w:rPr>
          <w:rFonts w:cs="Arial"/>
          <w:color w:val="333333"/>
          <w:szCs w:val="21"/>
        </w:rPr>
        <w:t xml:space="preserve"> for fradragsfaktorer</w:t>
      </w:r>
      <w:r w:rsidR="00B901F2">
        <w:rPr>
          <w:rFonts w:cs="Arial"/>
          <w:color w:val="333333"/>
          <w:szCs w:val="21"/>
        </w:rPr>
        <w:t xml:space="preserve"> kan</w:t>
      </w:r>
      <w:r>
        <w:rPr>
          <w:rFonts w:cs="Arial"/>
          <w:color w:val="333333"/>
          <w:szCs w:val="21"/>
        </w:rPr>
        <w:t xml:space="preserve"> anvendes af pengeinstitutter, realkreditinstitutter, fondsmæglerselskaber og investeringsforvaltningsselskaber, der ikke anvender egne modeller til beregning</w:t>
      </w:r>
      <w:r w:rsidR="002401EF">
        <w:rPr>
          <w:rFonts w:cs="Arial"/>
          <w:color w:val="333333"/>
          <w:szCs w:val="21"/>
        </w:rPr>
        <w:t xml:space="preserve"> af</w:t>
      </w:r>
      <w:r>
        <w:rPr>
          <w:rFonts w:cs="Arial"/>
          <w:color w:val="333333"/>
          <w:szCs w:val="21"/>
        </w:rPr>
        <w:t xml:space="preserve"> optionsjusterede varigheder</w:t>
      </w:r>
      <w:r w:rsidR="00B901F2">
        <w:rPr>
          <w:rFonts w:cs="Arial"/>
          <w:color w:val="333333"/>
          <w:szCs w:val="21"/>
        </w:rPr>
        <w:t>,</w:t>
      </w:r>
      <w:r>
        <w:rPr>
          <w:rFonts w:cs="Arial"/>
          <w:color w:val="333333"/>
          <w:szCs w:val="21"/>
        </w:rPr>
        <w:t xml:space="preserve"> ved opgørelse af kapitalgrundlagskrav efter varighedsmetoden.</w:t>
      </w:r>
    </w:p>
    <w:p w14:paraId="40D10110" w14:textId="77777777" w:rsidR="00D354F1" w:rsidRDefault="00D354F1">
      <w:pPr>
        <w:pStyle w:val="Brdtekst"/>
        <w:rPr>
          <w:b/>
        </w:rPr>
      </w:pPr>
    </w:p>
    <w:p w14:paraId="2D22A100" w14:textId="77777777" w:rsidR="00D354F1" w:rsidRPr="009F5C82" w:rsidRDefault="00D354F1" w:rsidP="00103367">
      <w:pPr>
        <w:pStyle w:val="Underoverskrift"/>
      </w:pPr>
      <w:r w:rsidRPr="009F5C82">
        <w:t>Lovgrundlag</w:t>
      </w:r>
    </w:p>
    <w:p w14:paraId="7B9DD4CB" w14:textId="77777777" w:rsidR="00AD39DB" w:rsidRDefault="00D354F1" w:rsidP="00AD39DB">
      <w:pPr>
        <w:pStyle w:val="Brdtekst"/>
        <w:rPr>
          <w:rFonts w:cs="Arial"/>
          <w:color w:val="333333"/>
          <w:szCs w:val="21"/>
        </w:rPr>
      </w:pPr>
      <w:r w:rsidRPr="005541D0">
        <w:t>I henhold til artikel 3</w:t>
      </w:r>
      <w:r w:rsidRPr="001575DC">
        <w:rPr>
          <w:rFonts w:cs="Arial"/>
          <w:color w:val="333333"/>
          <w:szCs w:val="21"/>
        </w:rPr>
        <w:t>40</w:t>
      </w:r>
      <w:r w:rsidR="001575DC">
        <w:rPr>
          <w:rFonts w:cs="Arial"/>
          <w:color w:val="333333"/>
          <w:szCs w:val="21"/>
        </w:rPr>
        <w:t xml:space="preserve"> i kapitalkravsforordningen</w:t>
      </w:r>
      <w:r w:rsidR="00B014EF">
        <w:rPr>
          <w:rFonts w:cs="Arial"/>
          <w:color w:val="333333"/>
          <w:szCs w:val="21"/>
        </w:rPr>
        <w:t xml:space="preserve"> (EU) 575/2013</w:t>
      </w:r>
      <w:r w:rsidR="001575DC">
        <w:rPr>
          <w:rFonts w:cs="Arial"/>
          <w:color w:val="333333"/>
          <w:szCs w:val="21"/>
        </w:rPr>
        <w:t>,</w:t>
      </w:r>
      <w:r>
        <w:rPr>
          <w:rFonts w:cs="Arial"/>
          <w:color w:val="333333"/>
          <w:szCs w:val="21"/>
        </w:rPr>
        <w:t xml:space="preserve"> der </w:t>
      </w:r>
      <w:r w:rsidR="008937E5">
        <w:rPr>
          <w:rFonts w:cs="Arial"/>
          <w:color w:val="333333"/>
          <w:szCs w:val="21"/>
        </w:rPr>
        <w:t>angiver</w:t>
      </w:r>
      <w:r>
        <w:rPr>
          <w:rFonts w:cs="Arial"/>
          <w:color w:val="333333"/>
          <w:szCs w:val="21"/>
        </w:rPr>
        <w:t xml:space="preserve"> opgørelse</w:t>
      </w:r>
      <w:r w:rsidR="008937E5">
        <w:rPr>
          <w:rFonts w:cs="Arial"/>
          <w:color w:val="333333"/>
          <w:szCs w:val="21"/>
        </w:rPr>
        <w:t>smetoden for</w:t>
      </w:r>
      <w:r>
        <w:rPr>
          <w:rFonts w:cs="Arial"/>
          <w:color w:val="333333"/>
          <w:szCs w:val="21"/>
        </w:rPr>
        <w:t xml:space="preserve"> kapitalgrundlagskravet for den generelle risiko på gældspapirer ved anvendelsen af varighedsmetoden, kan konverterbare realkreditobligationers modificerede varighed justeres på baggrund af kundernes konverteringsoption. Konverteringsoptionen betyder, at konverterbare realkreditobligationer får en kortere varighed end tilsvarende obligationer uden tilsvarende optioner.</w:t>
      </w:r>
      <w:r w:rsidR="00AD39DB">
        <w:rPr>
          <w:rFonts w:cs="Arial"/>
          <w:color w:val="333333"/>
          <w:szCs w:val="21"/>
        </w:rPr>
        <w:t xml:space="preserve"> </w:t>
      </w:r>
    </w:p>
    <w:p w14:paraId="62816895" w14:textId="77777777" w:rsidR="00AD39DB" w:rsidRDefault="00AD39DB" w:rsidP="00AD39DB">
      <w:pPr>
        <w:pStyle w:val="Brdtekst"/>
        <w:rPr>
          <w:rFonts w:cs="Arial"/>
          <w:color w:val="333333"/>
          <w:szCs w:val="21"/>
        </w:rPr>
      </w:pPr>
    </w:p>
    <w:p w14:paraId="24873CD7" w14:textId="433616C1" w:rsidR="00D354F1" w:rsidRDefault="00AD39DB" w:rsidP="00D354F1">
      <w:pPr>
        <w:pStyle w:val="Brdtekst"/>
        <w:rPr>
          <w:rFonts w:cs="Arial"/>
          <w:color w:val="333333"/>
          <w:szCs w:val="21"/>
        </w:rPr>
      </w:pPr>
      <w:r>
        <w:rPr>
          <w:rFonts w:cs="Arial"/>
          <w:color w:val="333333"/>
          <w:szCs w:val="21"/>
        </w:rPr>
        <w:t>Det indebærer, at konverterbare realkreditobligationers kan behandles som en fastforrentet obligation, hvor den modificerede varighed justeres på baggrund af forsigtigt opgjorte fradragsfaktorer, der tager højde for konverteringsoptionen.</w:t>
      </w:r>
    </w:p>
    <w:p w14:paraId="3CEDB669" w14:textId="5CE97E38" w:rsidR="00713330" w:rsidRDefault="00713330" w:rsidP="00D354F1">
      <w:pPr>
        <w:pStyle w:val="Brdtekst"/>
        <w:rPr>
          <w:rFonts w:cs="Arial"/>
          <w:color w:val="333333"/>
          <w:szCs w:val="21"/>
        </w:rPr>
      </w:pPr>
    </w:p>
    <w:p w14:paraId="049C19FE" w14:textId="091E0131" w:rsidR="00713330" w:rsidRDefault="00713330" w:rsidP="00D354F1">
      <w:pPr>
        <w:pStyle w:val="Brdtekst"/>
        <w:rPr>
          <w:rFonts w:cs="Arial"/>
          <w:color w:val="333333"/>
          <w:szCs w:val="21"/>
        </w:rPr>
      </w:pPr>
      <w:r>
        <w:rPr>
          <w:rFonts w:cs="Arial"/>
          <w:color w:val="333333"/>
          <w:szCs w:val="21"/>
        </w:rPr>
        <w:t xml:space="preserve">Tilsvarende kan variabelt forrentede </w:t>
      </w:r>
      <w:r w:rsidR="00607988">
        <w:rPr>
          <w:rFonts w:cs="Arial"/>
          <w:color w:val="333333"/>
          <w:szCs w:val="21"/>
        </w:rPr>
        <w:t>realkredit</w:t>
      </w:r>
      <w:r>
        <w:rPr>
          <w:rFonts w:cs="Arial"/>
          <w:color w:val="333333"/>
          <w:szCs w:val="21"/>
        </w:rPr>
        <w:t xml:space="preserve">obligationer med renteloft behandles som en fastforrentet obligation, hvor den modificerede varighed justeres på baggrund af </w:t>
      </w:r>
      <w:r w:rsidR="00E94D32">
        <w:rPr>
          <w:rFonts w:cs="Arial"/>
          <w:color w:val="333333"/>
          <w:szCs w:val="21"/>
        </w:rPr>
        <w:t xml:space="preserve">forsigtigt opgjorte </w:t>
      </w:r>
      <w:r>
        <w:rPr>
          <w:rFonts w:cs="Arial"/>
          <w:color w:val="333333"/>
          <w:szCs w:val="21"/>
        </w:rPr>
        <w:t>fradragsfaktorer</w:t>
      </w:r>
      <w:r w:rsidR="00AD39DB">
        <w:rPr>
          <w:rFonts w:cs="Arial"/>
          <w:color w:val="333333"/>
          <w:szCs w:val="21"/>
        </w:rPr>
        <w:t xml:space="preserve">, der tager højde for, at obligationerne er </w:t>
      </w:r>
      <w:r>
        <w:rPr>
          <w:rFonts w:cs="Arial"/>
          <w:color w:val="333333"/>
          <w:szCs w:val="21"/>
        </w:rPr>
        <w:t>variabelt forrentede</w:t>
      </w:r>
      <w:r w:rsidR="00AD39DB">
        <w:rPr>
          <w:rFonts w:cs="Arial"/>
          <w:color w:val="333333"/>
          <w:szCs w:val="21"/>
        </w:rPr>
        <w:t xml:space="preserve">, så længe renten er lavere end </w:t>
      </w:r>
      <w:r>
        <w:rPr>
          <w:rFonts w:cs="Arial"/>
          <w:color w:val="333333"/>
          <w:szCs w:val="21"/>
        </w:rPr>
        <w:t>renteloft</w:t>
      </w:r>
      <w:r w:rsidR="00AD39DB">
        <w:rPr>
          <w:rFonts w:cs="Arial"/>
          <w:color w:val="333333"/>
          <w:szCs w:val="21"/>
        </w:rPr>
        <w:t>et</w:t>
      </w:r>
      <w:r>
        <w:rPr>
          <w:rFonts w:cs="Arial"/>
          <w:color w:val="333333"/>
          <w:szCs w:val="21"/>
        </w:rPr>
        <w:t>.</w:t>
      </w:r>
    </w:p>
    <w:p w14:paraId="7335D4A7" w14:textId="77777777" w:rsidR="00D354F1" w:rsidRDefault="00D354F1">
      <w:pPr>
        <w:pStyle w:val="Brdtekst"/>
        <w:rPr>
          <w:b/>
        </w:rPr>
      </w:pPr>
    </w:p>
    <w:p w14:paraId="732BEE9F" w14:textId="0F1FE674" w:rsidR="00437608" w:rsidRDefault="00437608" w:rsidP="00437608">
      <w:pPr>
        <w:pStyle w:val="Brdtekst"/>
      </w:pPr>
      <w:r w:rsidRPr="005541D0">
        <w:t xml:space="preserve">EBA </w:t>
      </w:r>
      <w:bookmarkStart w:id="3" w:name="PCAStart"/>
      <w:bookmarkEnd w:id="3"/>
      <w:r w:rsidR="00753209" w:rsidRPr="001575DC">
        <w:t>har i oktober</w:t>
      </w:r>
      <w:r w:rsidR="00753209">
        <w:t xml:space="preserve"> 2016 </w:t>
      </w:r>
      <w:r w:rsidR="001575DC">
        <w:t xml:space="preserve">offentliggjort </w:t>
      </w:r>
      <w:r w:rsidR="00753209">
        <w:t>”</w:t>
      </w:r>
      <w:r w:rsidR="001575DC" w:rsidRPr="001575DC">
        <w:t>Retningslinje</w:t>
      </w:r>
      <w:r w:rsidR="001575DC">
        <w:t>r for justering af den modificerede varighed for gældsinstrumenter som omhandlet i artikel 340, stk. 3</w:t>
      </w:r>
      <w:r w:rsidR="006B259D">
        <w:t>, andet afsnit</w:t>
      </w:r>
      <w:r w:rsidR="00AC0ED7">
        <w:t>, i forordning (EU) nr. 575/2013”,</w:t>
      </w:r>
      <w:r w:rsidRPr="001575DC">
        <w:t xml:space="preserve"> der fastsætte nærmere regler for </w:t>
      </w:r>
      <w:r w:rsidRPr="001575DC">
        <w:lastRenderedPageBreak/>
        <w:t>opgørelsen af optionsjusterede varigheder</w:t>
      </w:r>
      <w:r w:rsidR="00753209" w:rsidRPr="001575DC">
        <w:t xml:space="preserve">. </w:t>
      </w:r>
      <w:r>
        <w:t xml:space="preserve">Finanstilsynets </w:t>
      </w:r>
      <w:proofErr w:type="spellStart"/>
      <w:r>
        <w:t>benchmark</w:t>
      </w:r>
      <w:proofErr w:type="spellEnd"/>
      <w:r>
        <w:t xml:space="preserve"> for fradragsfaktorerne vurderes at leve op til </w:t>
      </w:r>
      <w:proofErr w:type="spellStart"/>
      <w:r>
        <w:t>EBAs</w:t>
      </w:r>
      <w:proofErr w:type="spellEnd"/>
      <w:r>
        <w:t xml:space="preserve"> </w:t>
      </w:r>
      <w:r w:rsidR="00DE79CB">
        <w:t>retningslinjer</w:t>
      </w:r>
      <w:r>
        <w:t>, da der tages højde for en lang række adfærdselementer</w:t>
      </w:r>
      <w:r w:rsidR="00C27F72">
        <w:t xml:space="preserve"> i opgørelsen af fradragsfaktorerne,</w:t>
      </w:r>
      <w:r>
        <w:t xml:space="preserve"> herunder transaktionsomkostninger ved omlægning, </w:t>
      </w:r>
    </w:p>
    <w:p w14:paraId="776E2F96" w14:textId="77777777" w:rsidR="00D354F1" w:rsidRDefault="00D354F1">
      <w:pPr>
        <w:pStyle w:val="Brdtekst"/>
      </w:pPr>
    </w:p>
    <w:p w14:paraId="59248800" w14:textId="77777777" w:rsidR="00264092" w:rsidRDefault="00264092">
      <w:pPr>
        <w:pStyle w:val="Brdtekst"/>
      </w:pPr>
    </w:p>
    <w:p w14:paraId="6982413D" w14:textId="77777777" w:rsidR="00264092" w:rsidRDefault="00264092">
      <w:pPr>
        <w:pStyle w:val="Brdtekst"/>
      </w:pPr>
    </w:p>
    <w:p w14:paraId="7F6EBED9" w14:textId="6EA55FF6" w:rsidR="00015CCC" w:rsidRPr="009F5C82" w:rsidRDefault="0086588C" w:rsidP="00103367">
      <w:pPr>
        <w:pStyle w:val="Underoverskrift"/>
      </w:pPr>
      <w:r w:rsidRPr="009F5C82">
        <w:t>Opgørelsen af fradragsfaktorerne</w:t>
      </w:r>
      <w:r w:rsidR="00713330">
        <w:t xml:space="preserve"> på konverterbare realkreditobligationer</w:t>
      </w:r>
    </w:p>
    <w:p w14:paraId="569C98F8" w14:textId="12B9EA99" w:rsidR="0086588C" w:rsidRDefault="0086588C">
      <w:pPr>
        <w:pStyle w:val="Brdtekst"/>
      </w:pPr>
      <w:r>
        <w:t>Finanstilsynet</w:t>
      </w:r>
      <w:r w:rsidR="00437608">
        <w:t>s beregninger</w:t>
      </w:r>
      <w:r>
        <w:t xml:space="preserve"> af fradragsfaktorer </w:t>
      </w:r>
      <w:r w:rsidR="00DE79CB">
        <w:t xml:space="preserve">tager udgangspunkt i </w:t>
      </w:r>
      <w:r w:rsidR="002B3B2C">
        <w:t xml:space="preserve">en </w:t>
      </w:r>
      <w:proofErr w:type="spellStart"/>
      <w:r w:rsidR="002B3B2C">
        <w:t>vendor</w:t>
      </w:r>
      <w:r w:rsidR="00B014EF">
        <w:t>model</w:t>
      </w:r>
      <w:proofErr w:type="spellEnd"/>
      <w:r>
        <w:t>, som opgør optionsjusterede varigheder for blandt andet konverterbare realkreditobligationer</w:t>
      </w:r>
      <w:r w:rsidR="00690348">
        <w:t>, hvor der er fortaget en række tilpasninger og justeringer, som beskrevet nedenfor</w:t>
      </w:r>
      <w:r>
        <w:t>.</w:t>
      </w:r>
      <w:r w:rsidR="00753209">
        <w:t xml:space="preserve"> </w:t>
      </w:r>
    </w:p>
    <w:p w14:paraId="46CA0865" w14:textId="77777777" w:rsidR="00BE4AA0" w:rsidRDefault="00BE4AA0" w:rsidP="00BE4AA0">
      <w:pPr>
        <w:pStyle w:val="Brdtekst"/>
      </w:pPr>
    </w:p>
    <w:p w14:paraId="52331072" w14:textId="79572247" w:rsidR="00AA726E" w:rsidRDefault="00AA726E" w:rsidP="00AA726E">
      <w:pPr>
        <w:pStyle w:val="Brdtekst"/>
      </w:pPr>
      <w:r>
        <w:t>Fradragsfaktorerne opgøres opdelt p</w:t>
      </w:r>
      <w:r w:rsidR="0091669B">
        <w:t>å</w:t>
      </w:r>
      <w:r>
        <w:t xml:space="preserve"> kuponrenter, da det er afvigelsen imellem kuponrenten og renteniveauet, der i høj grad driver konverteringsadfærden. Fradragsfaktorerne offentliggøres ikke for alle kuponrenter, men offentliggøres for de kuponrenter hvor Finanstilsynet vurderer, at der er et tilstrækkeligt beløb i udstedte serier til</w:t>
      </w:r>
      <w:r w:rsidR="0091669B">
        <w:t>,</w:t>
      </w:r>
      <w:r>
        <w:t xml:space="preserve"> at </w:t>
      </w:r>
      <w:r w:rsidR="00283826">
        <w:t xml:space="preserve">der er tilstrækkelig sikkerhed for </w:t>
      </w:r>
      <w:r>
        <w:t>opgørelsen. De offentliggjorte kuponrenter omfatter obligationsserier</w:t>
      </w:r>
      <w:r w:rsidR="0091669B">
        <w:t>,</w:t>
      </w:r>
      <w:r>
        <w:t xml:space="preserve"> der</w:t>
      </w:r>
      <w:r w:rsidR="00264092">
        <w:t xml:space="preserve"> per februar 2018</w:t>
      </w:r>
      <w:r>
        <w:t xml:space="preserve"> </w:t>
      </w:r>
      <w:r w:rsidRPr="00237869">
        <w:t>udgør mere end 99 %</w:t>
      </w:r>
      <w:r>
        <w:t xml:space="preserve"> af den samlede udsted</w:t>
      </w:r>
      <w:r w:rsidR="00264092">
        <w:t>t</w:t>
      </w:r>
      <w:r>
        <w:t>e mængde af konverterbare realkreditobligationer.</w:t>
      </w:r>
    </w:p>
    <w:p w14:paraId="0C0AC686" w14:textId="77777777" w:rsidR="00AA726E" w:rsidRDefault="00AA726E" w:rsidP="00AA726E">
      <w:pPr>
        <w:pStyle w:val="Brdtekst"/>
      </w:pPr>
    </w:p>
    <w:p w14:paraId="146EC5BE" w14:textId="0A7AE7A7" w:rsidR="00AA726E" w:rsidRDefault="00AA726E" w:rsidP="00AA726E">
      <w:pPr>
        <w:pStyle w:val="Brdtekst"/>
      </w:pPr>
      <w:r>
        <w:t>De nye fradragsfaktorer opgøres opdelt på løbetider for at tage højde for</w:t>
      </w:r>
      <w:r w:rsidR="0091669B">
        <w:t>,</w:t>
      </w:r>
      <w:r w:rsidR="00B901F2">
        <w:t xml:space="preserve"> at ældre serier til tider</w:t>
      </w:r>
      <w:r>
        <w:t xml:space="preserve"> har lavere fradragsfaktorer på baggrund af risikofaktorer, der ikke er observerbare for de fleste pengeinstitutter uden egen model til opgørelse af optionsjusterede varigheder. Finanstilsynet har valgt 3 løbetidsintervaller for at holde </w:t>
      </w:r>
      <w:proofErr w:type="spellStart"/>
      <w:r>
        <w:t>benchmarket</w:t>
      </w:r>
      <w:proofErr w:type="spellEnd"/>
      <w:r>
        <w:t xml:space="preserve"> </w:t>
      </w:r>
      <w:r w:rsidR="00690348">
        <w:t>enkelt</w:t>
      </w:r>
      <w:r>
        <w:t xml:space="preserve">. </w:t>
      </w:r>
    </w:p>
    <w:p w14:paraId="78A4D34D" w14:textId="77777777" w:rsidR="00264092" w:rsidRDefault="00264092" w:rsidP="00AA726E">
      <w:pPr>
        <w:pStyle w:val="Brdtekst"/>
      </w:pPr>
    </w:p>
    <w:p w14:paraId="664B2389" w14:textId="46D67522" w:rsidR="00264092" w:rsidRDefault="00264092" w:rsidP="00264092">
      <w:pPr>
        <w:pStyle w:val="Brdtekst"/>
      </w:pPr>
      <w:r>
        <w:t xml:space="preserve">Varigheden for obligationer, der ligger uden for ovenstående </w:t>
      </w:r>
      <w:proofErr w:type="spellStart"/>
      <w:r>
        <w:t>benchmark</w:t>
      </w:r>
      <w:proofErr w:type="spellEnd"/>
      <w:r>
        <w:t>, skal opgøres med en fradragsfaktor på 0 %. De serier der ligger uden</w:t>
      </w:r>
      <w:r w:rsidR="00A204AF">
        <w:t xml:space="preserve"> </w:t>
      </w:r>
      <w:r>
        <w:t xml:space="preserve">for </w:t>
      </w:r>
      <w:proofErr w:type="spellStart"/>
      <w:r>
        <w:t>benchmarket</w:t>
      </w:r>
      <w:proofErr w:type="spellEnd"/>
      <w:r>
        <w:t xml:space="preserve"> er generelt små, illikvide og</w:t>
      </w:r>
      <w:r w:rsidR="00B014EF">
        <w:t xml:space="preserve"> har været igennem flere konverteringsbølger</w:t>
      </w:r>
      <w:r>
        <w:t xml:space="preserve"> og har derfor både lavere opgjorte fradragsfaktorer og større usikkerhed på opgørelsen. </w:t>
      </w:r>
      <w:r w:rsidR="00A127FA">
        <w:t xml:space="preserve">Samtidig er det </w:t>
      </w:r>
      <w:r>
        <w:t xml:space="preserve">en meget lille </w:t>
      </w:r>
      <w:r w:rsidR="00B9574B">
        <w:t>an</w:t>
      </w:r>
      <w:r>
        <w:t xml:space="preserve">del af </w:t>
      </w:r>
      <w:r w:rsidR="00B9574B">
        <w:t>de udstedte konverterbare realkreditobligationer,</w:t>
      </w:r>
      <w:r w:rsidR="00A127FA">
        <w:t xml:space="preserve"> der ligger uden for </w:t>
      </w:r>
      <w:proofErr w:type="spellStart"/>
      <w:r w:rsidR="00A127FA">
        <w:t>benchmarket</w:t>
      </w:r>
      <w:proofErr w:type="spellEnd"/>
      <w:r w:rsidR="00A127FA">
        <w:t>.</w:t>
      </w:r>
    </w:p>
    <w:p w14:paraId="6B9F34A1" w14:textId="77777777" w:rsidR="0086588C" w:rsidRDefault="0086588C">
      <w:pPr>
        <w:pStyle w:val="Brdtekst"/>
      </w:pPr>
    </w:p>
    <w:p w14:paraId="55B2F9FA" w14:textId="4992A924" w:rsidR="00753209" w:rsidRDefault="00753209">
      <w:pPr>
        <w:pStyle w:val="Brdtekst"/>
      </w:pPr>
      <w:r>
        <w:t xml:space="preserve">Opgørelsen baseres på </w:t>
      </w:r>
      <w:r w:rsidR="00283826">
        <w:t xml:space="preserve">den </w:t>
      </w:r>
      <w:r>
        <w:t>optionsjusterede varighed opgjort for alle konverterbare realkreditobligationer</w:t>
      </w:r>
      <w:r w:rsidR="00DE79CB">
        <w:t xml:space="preserve"> </w:t>
      </w:r>
      <w:r w:rsidR="00AA726E">
        <w:t xml:space="preserve">omfattet af </w:t>
      </w:r>
      <w:proofErr w:type="spellStart"/>
      <w:r w:rsidR="00AA726E">
        <w:t>benchmarket</w:t>
      </w:r>
      <w:proofErr w:type="spellEnd"/>
      <w:r>
        <w:t>. For at sikre at fradragsfaktorerne ikke domineres af gamle serier med en lav udestående mængde, vægtes serier med større udestående mængder tungere end serier med mindre udestående mængde.</w:t>
      </w:r>
    </w:p>
    <w:p w14:paraId="4E2CBE77" w14:textId="77777777" w:rsidR="00FB1E39" w:rsidRDefault="00FB1E39">
      <w:pPr>
        <w:pStyle w:val="Brdtekst"/>
      </w:pPr>
    </w:p>
    <w:p w14:paraId="2593C27C" w14:textId="7D828A5D" w:rsidR="00C16486" w:rsidRPr="009F5C82" w:rsidRDefault="00C16486" w:rsidP="00103367">
      <w:pPr>
        <w:pStyle w:val="Underoverskrift"/>
        <w:numPr>
          <w:ilvl w:val="1"/>
          <w:numId w:val="6"/>
        </w:numPr>
      </w:pPr>
      <w:r w:rsidRPr="009F5C82">
        <w:t>Justeringer og usikkerheder</w:t>
      </w:r>
      <w:r w:rsidR="00607988">
        <w:t xml:space="preserve"> vedrørende konverterbare realkreditobligationer</w:t>
      </w:r>
    </w:p>
    <w:p w14:paraId="3098CE10" w14:textId="55D8B9F2" w:rsidR="00AA045C" w:rsidRDefault="00C16486">
      <w:pPr>
        <w:pStyle w:val="Brdtekst"/>
      </w:pPr>
      <w:r>
        <w:t>F</w:t>
      </w:r>
      <w:r w:rsidR="00E1100E">
        <w:t xml:space="preserve">inanstilsynet har på baggrund af en række analyser foretaget en lang række tekniske valg i forbindelse med </w:t>
      </w:r>
      <w:r w:rsidR="008937E5">
        <w:t>udviklingen</w:t>
      </w:r>
      <w:r>
        <w:t xml:space="preserve"> af de nye fradragsfaktorer</w:t>
      </w:r>
      <w:r w:rsidR="008937E5">
        <w:t>, blandt andet at obligationer med en fradragsfaktor over 100 % tages med i opgørelsen som 100 %</w:t>
      </w:r>
      <w:r w:rsidR="00E1100E">
        <w:t xml:space="preserve">. </w:t>
      </w:r>
      <w:r w:rsidR="00753209">
        <w:t xml:space="preserve"> Analyserne har</w:t>
      </w:r>
      <w:r w:rsidR="008937E5">
        <w:t xml:space="preserve"> desuden</w:t>
      </w:r>
      <w:r w:rsidR="00BE4AA0">
        <w:t xml:space="preserve"> v</w:t>
      </w:r>
      <w:r w:rsidR="00753209">
        <w:t>ist, at metoden overvurderer fradragsfaktorerne efter konverteringsbølger, da opgørelsen er tilbageskuende, men</w:t>
      </w:r>
      <w:r w:rsidR="00AA045C">
        <w:t xml:space="preserve"> fradragsfaktorerne anvendes fremadrettet.</w:t>
      </w:r>
      <w:r w:rsidR="00753209">
        <w:t xml:space="preserve"> </w:t>
      </w:r>
      <w:r w:rsidR="00BE4AA0">
        <w:t>P</w:t>
      </w:r>
      <w:r w:rsidR="00AA045C">
        <w:t xml:space="preserve">å baggrund heraf har Finanstilsynet valgt at begrænse </w:t>
      </w:r>
      <w:r w:rsidR="00A127FA">
        <w:t xml:space="preserve">den maksimale </w:t>
      </w:r>
      <w:r w:rsidR="00AA045C">
        <w:t>stigning i fradragsfaktorerne</w:t>
      </w:r>
      <w:r w:rsidR="00A127FA">
        <w:t xml:space="preserve"> imellem kvartalerne</w:t>
      </w:r>
      <w:r w:rsidR="00AA045C">
        <w:t>, således at konverteringsbølgernes effekt på fradragsfaktorerne begrænses betydeligt</w:t>
      </w:r>
      <w:r w:rsidR="00283826">
        <w:t>,</w:t>
      </w:r>
      <w:r w:rsidR="00AA045C">
        <w:t xml:space="preserve"> og på baggrund heraf når</w:t>
      </w:r>
      <w:r w:rsidR="00807E7C">
        <w:t xml:space="preserve"> </w:t>
      </w:r>
      <w:r w:rsidR="00AA045C">
        <w:t>afvigelserne et acceptabelt niveau.</w:t>
      </w:r>
      <w:r w:rsidR="00283826" w:rsidRPr="00283826">
        <w:t xml:space="preserve"> </w:t>
      </w:r>
      <w:r w:rsidR="00283826">
        <w:t xml:space="preserve">Fradragsfaktorerne offentliggøres desuden altid nedrundet til nærmeste 5 %. Nedrunding er nødvendig, for at sikre at afrundingen altid er </w:t>
      </w:r>
      <w:r w:rsidR="00E94D32">
        <w:t>forsigtig</w:t>
      </w:r>
      <w:r w:rsidR="00283826">
        <w:t>.</w:t>
      </w:r>
    </w:p>
    <w:p w14:paraId="397BF785" w14:textId="5289AD86" w:rsidR="00015CCC" w:rsidRDefault="00015CCC">
      <w:pPr>
        <w:pStyle w:val="Brdtekst"/>
      </w:pPr>
    </w:p>
    <w:p w14:paraId="579D1114" w14:textId="251A4C6F" w:rsidR="00713330" w:rsidRDefault="00713330" w:rsidP="00713330">
      <w:pPr>
        <w:pStyle w:val="Underoverskrift"/>
      </w:pPr>
      <w:r>
        <w:t xml:space="preserve">Opgørelsen af fradragsfaktorerne på variabelt forrentede </w:t>
      </w:r>
      <w:r w:rsidR="00607988">
        <w:t>realkredit</w:t>
      </w:r>
      <w:r>
        <w:t>obligationer med renteloft</w:t>
      </w:r>
    </w:p>
    <w:p w14:paraId="2AC9C306" w14:textId="5C56721A" w:rsidR="00713330" w:rsidRDefault="00713330" w:rsidP="00A50813"/>
    <w:p w14:paraId="5E96D8BD" w14:textId="308A84BA" w:rsidR="00713330" w:rsidRDefault="00713330" w:rsidP="00713330">
      <w:pPr>
        <w:pStyle w:val="Brdtekst"/>
      </w:pPr>
      <w:r>
        <w:t xml:space="preserve">Finanstilsynets beregninger af fradragsfaktorer tager udgangspunkt i en </w:t>
      </w:r>
      <w:proofErr w:type="spellStart"/>
      <w:r>
        <w:t>vendormodel</w:t>
      </w:r>
      <w:proofErr w:type="spellEnd"/>
      <w:r>
        <w:t xml:space="preserve">, som opgør optionsjusterede varigheder for blandt andet variabelt forrentede </w:t>
      </w:r>
      <w:r w:rsidR="00607988">
        <w:t>realkredit</w:t>
      </w:r>
      <w:r>
        <w:t>obligationer med renteloft, hvor der er for</w:t>
      </w:r>
      <w:r w:rsidR="00E94D32">
        <w:t>e</w:t>
      </w:r>
      <w:r>
        <w:t xml:space="preserve">taget en række tilpasninger og justeringer, som beskrevet nedenfor. </w:t>
      </w:r>
    </w:p>
    <w:p w14:paraId="5C05BAFA" w14:textId="77777777" w:rsidR="00713330" w:rsidRDefault="00713330" w:rsidP="00713330">
      <w:pPr>
        <w:pStyle w:val="Brdtekst"/>
      </w:pPr>
    </w:p>
    <w:p w14:paraId="62E2ED5F" w14:textId="6DC3380A" w:rsidR="00713330" w:rsidRDefault="00713330" w:rsidP="00713330">
      <w:pPr>
        <w:pStyle w:val="Brdtekst"/>
      </w:pPr>
      <w:r>
        <w:t>Fradragsfaktorerne opgøres opdelt på</w:t>
      </w:r>
      <w:r w:rsidR="007C1E11">
        <w:t xml:space="preserve"> udvalgte</w:t>
      </w:r>
      <w:r>
        <w:t xml:space="preserve"> renteloft, da afvigelsen imellem renteloftet og renteniveauet i høj grad driver fradragsfaktorerne. De offentliggjorte </w:t>
      </w:r>
      <w:r w:rsidR="00E94D32">
        <w:t>rentelofter</w:t>
      </w:r>
      <w:r>
        <w:t xml:space="preserve"> omfatter alle de pågældende realkreditobligationsserier</w:t>
      </w:r>
    </w:p>
    <w:p w14:paraId="7B64490D" w14:textId="38431CF4" w:rsidR="00713330" w:rsidRDefault="00713330" w:rsidP="00A50813"/>
    <w:p w14:paraId="030272F7" w14:textId="16685D69" w:rsidR="00607988" w:rsidRDefault="00607988" w:rsidP="00607988">
      <w:pPr>
        <w:pStyle w:val="Brdtekst"/>
      </w:pPr>
      <w:r>
        <w:t xml:space="preserve">Opgørelsen baseres på den optionsjusterede varighed opgjort for alle variabelt forrentede realkreditobligationer med renteloft omfattet af </w:t>
      </w:r>
      <w:proofErr w:type="spellStart"/>
      <w:r>
        <w:t>benchmarket</w:t>
      </w:r>
      <w:proofErr w:type="spellEnd"/>
      <w:r>
        <w:t>. For at sikre at fradragsfaktorerne ikke domineres af gamle serier med en lav udestående mængde, vægtes serier med større udestående mængder tungere end serier med mindre udestående mængde.</w:t>
      </w:r>
    </w:p>
    <w:p w14:paraId="01BA9B0E" w14:textId="77777777" w:rsidR="00607988" w:rsidRPr="00713330" w:rsidRDefault="00607988" w:rsidP="00A50813"/>
    <w:p w14:paraId="06D2D310" w14:textId="47F6E1D8" w:rsidR="00713330" w:rsidRDefault="00713330" w:rsidP="00A50813">
      <w:pPr>
        <w:pStyle w:val="Underoverskrift"/>
        <w:numPr>
          <w:ilvl w:val="1"/>
          <w:numId w:val="6"/>
        </w:numPr>
      </w:pPr>
      <w:r>
        <w:t xml:space="preserve"> Justeringer og usikkerheder</w:t>
      </w:r>
      <w:r w:rsidR="00607988">
        <w:t xml:space="preserve"> vedrørende variabelt forrentede realkreditobligationer med renteloft</w:t>
      </w:r>
    </w:p>
    <w:p w14:paraId="67A2A382" w14:textId="7EFD45E0" w:rsidR="00713330" w:rsidRPr="00713330" w:rsidRDefault="00607988" w:rsidP="00A50813">
      <w:r>
        <w:t xml:space="preserve">Finanstilsynet har på baggrund af en række analyser foretaget en lang række tekniske valg i forbindelse med udviklingen af de nye fradragsfaktorer. Analyserne har vist, at enkelte seriers renterisiko i </w:t>
      </w:r>
      <w:r w:rsidR="00175E39">
        <w:t>nogen</w:t>
      </w:r>
      <w:r>
        <w:t xml:space="preserve"> grad udviser udsving i renterisiko, som det ses ved variabelt forrentede realkreditobligationer. </w:t>
      </w:r>
      <w:r w:rsidR="00175E39">
        <w:t xml:space="preserve">Tilsvarende ses en stigning i renterisikoen for de serier, som har et bindende rentegulv på 0 %. </w:t>
      </w:r>
      <w:proofErr w:type="spellStart"/>
      <w:r w:rsidR="00175E39">
        <w:t>Benchmarket</w:t>
      </w:r>
      <w:proofErr w:type="spellEnd"/>
      <w:r w:rsidR="00175E39">
        <w:t xml:space="preserve"> tager ikke højde for disse usikkerheder, og for at sikre </w:t>
      </w:r>
      <w:r w:rsidR="00E94D32">
        <w:t>tilstrækkelig forsigtighed</w:t>
      </w:r>
      <w:r w:rsidR="00175E39">
        <w:t xml:space="preserve"> har Finanstilsynet valgt at reducere fradragsfaktorerne på baggrund af dette. Der offentliggøres altid nedrundet til nærmeste 5 %.</w:t>
      </w:r>
    </w:p>
    <w:p w14:paraId="6E30CF51" w14:textId="77777777" w:rsidR="00351B40" w:rsidRPr="009F5C82" w:rsidRDefault="00351B40" w:rsidP="00103367">
      <w:pPr>
        <w:pStyle w:val="Underoverskrift"/>
      </w:pPr>
      <w:r w:rsidRPr="009F5C82">
        <w:t>Vedligeholdelse af modellen</w:t>
      </w:r>
    </w:p>
    <w:p w14:paraId="618E59EC" w14:textId="76624F87" w:rsidR="00DF516A" w:rsidRDefault="00351B40" w:rsidP="00DF516A">
      <w:pPr>
        <w:pStyle w:val="Brdtekst"/>
      </w:pPr>
      <w:r>
        <w:t>Fi</w:t>
      </w:r>
      <w:r w:rsidR="005541D0">
        <w:t>na</w:t>
      </w:r>
      <w:r w:rsidR="0008139F">
        <w:t>ns</w:t>
      </w:r>
      <w:r w:rsidR="005541D0">
        <w:t xml:space="preserve">tilsynet </w:t>
      </w:r>
      <w:proofErr w:type="spellStart"/>
      <w:r w:rsidR="00833168">
        <w:t>backtester</w:t>
      </w:r>
      <w:proofErr w:type="spellEnd"/>
      <w:r w:rsidR="005541D0">
        <w:t xml:space="preserve"> løbende </w:t>
      </w:r>
      <w:r w:rsidR="00BE4AA0">
        <w:t>fradragsfaktorerne</w:t>
      </w:r>
      <w:r w:rsidR="00DF516A">
        <w:t xml:space="preserve"> og vil løbende overvåge metodens præcision</w:t>
      </w:r>
      <w:r w:rsidR="00AE4A6D">
        <w:t xml:space="preserve"> for at sikre</w:t>
      </w:r>
      <w:r w:rsidR="00283826">
        <w:t>,</w:t>
      </w:r>
      <w:r w:rsidR="00AE4A6D">
        <w:t xml:space="preserve"> at den fortsat </w:t>
      </w:r>
      <w:r w:rsidR="00DF516A">
        <w:t>vurderes at være tilstrækkelig</w:t>
      </w:r>
      <w:r w:rsidR="00283826">
        <w:t xml:space="preserve"> forsigtig</w:t>
      </w:r>
      <w:r w:rsidR="00DF516A">
        <w:t>.</w:t>
      </w:r>
    </w:p>
    <w:p w14:paraId="2D1CAA8C" w14:textId="77777777" w:rsidR="00DF516A" w:rsidRDefault="00DF516A" w:rsidP="00DF516A">
      <w:pPr>
        <w:pStyle w:val="Brdtekst"/>
      </w:pPr>
    </w:p>
    <w:p w14:paraId="3FC78158" w14:textId="0DB87B17" w:rsidR="00351B40" w:rsidRDefault="0008139F" w:rsidP="00DF516A">
      <w:pPr>
        <w:pStyle w:val="Brdtekst"/>
      </w:pPr>
      <w:r>
        <w:t xml:space="preserve">Derudover vil </w:t>
      </w:r>
      <w:r w:rsidR="005541D0">
        <w:t xml:space="preserve">Finanstilsynet </w:t>
      </w:r>
      <w:r w:rsidR="00351B40">
        <w:t xml:space="preserve">løbende tage stilling til om opgørelsen kan forbedres på baggrund af nye opgørelsesmetoder for optionsjusterede varigheder, </w:t>
      </w:r>
      <w:r w:rsidR="00086D41">
        <w:t xml:space="preserve">og </w:t>
      </w:r>
      <w:r w:rsidR="00351B40">
        <w:t xml:space="preserve">om ændringer i de generelle markedsforhold og </w:t>
      </w:r>
      <w:r>
        <w:t>eve</w:t>
      </w:r>
      <w:r w:rsidR="00BE4AA0">
        <w:t>n</w:t>
      </w:r>
      <w:r>
        <w:t xml:space="preserve">tuelt </w:t>
      </w:r>
      <w:r w:rsidR="00351B40">
        <w:t>forbrugeradfærden bør give anledning til ændringer i metoden</w:t>
      </w:r>
      <w:r>
        <w:t xml:space="preserve">. </w:t>
      </w:r>
    </w:p>
    <w:p w14:paraId="63B9E78E" w14:textId="77777777" w:rsidR="00351B40" w:rsidRPr="00351B40" w:rsidRDefault="00351B40">
      <w:pPr>
        <w:pStyle w:val="Brdtekst"/>
      </w:pPr>
    </w:p>
    <w:p w14:paraId="6DF52393" w14:textId="3491ED59" w:rsidR="00015CCC" w:rsidRPr="000A2B59" w:rsidRDefault="00CD55A7">
      <w:pPr>
        <w:pStyle w:val="Brdtekst"/>
      </w:pPr>
      <w:r>
        <w:t>Der vil løbende blive taget stilling til</w:t>
      </w:r>
      <w:r w:rsidR="00086F14">
        <w:t>,</w:t>
      </w:r>
      <w:r>
        <w:t xml:space="preserve"> om tabelle</w:t>
      </w:r>
      <w:r w:rsidR="00175E39">
        <w:t>rne</w:t>
      </w:r>
      <w:r>
        <w:t xml:space="preserve"> skal u</w:t>
      </w:r>
      <w:r w:rsidR="000A2B59">
        <w:t>dvide</w:t>
      </w:r>
      <w:r>
        <w:t>s</w:t>
      </w:r>
      <w:r w:rsidR="00765276">
        <w:t xml:space="preserve"> med yderligere kuponrenter</w:t>
      </w:r>
      <w:r w:rsidR="000A2B59">
        <w:t>, såfremt en tilstrækkelig mængde obligationer udstedes i en kategori</w:t>
      </w:r>
      <w:r w:rsidR="004F6C17">
        <w:t>,</w:t>
      </w:r>
      <w:r w:rsidR="000A2B59">
        <w:t xml:space="preserve"> der ikke er dækket af tabellen.</w:t>
      </w:r>
    </w:p>
    <w:sectPr w:rsidR="00015CCC" w:rsidRPr="000A2B59" w:rsidSect="002779D0">
      <w:headerReference w:type="default" r:id="rId8"/>
      <w:footerReference w:type="default" r:id="rId9"/>
      <w:headerReference w:type="first" r:id="rId10"/>
      <w:pgSz w:w="11906" w:h="16838" w:code="9"/>
      <w:pgMar w:top="2325" w:right="3686" w:bottom="1418" w:left="1106" w:header="624" w:footer="567" w:gutter="0"/>
      <w:paperSrc w:first="11" w:other="1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82C53" w14:textId="77777777" w:rsidR="009F5C82" w:rsidRDefault="009F5C82">
      <w:pPr>
        <w:spacing w:line="240" w:lineRule="auto"/>
      </w:pPr>
      <w:r>
        <w:separator/>
      </w:r>
    </w:p>
  </w:endnote>
  <w:endnote w:type="continuationSeparator" w:id="0">
    <w:p w14:paraId="024AA858" w14:textId="77777777" w:rsidR="009F5C82" w:rsidRDefault="009F5C82">
      <w:pPr>
        <w:spacing w:line="240" w:lineRule="auto"/>
      </w:pPr>
      <w:r>
        <w:continuationSeparator/>
      </w:r>
    </w:p>
  </w:endnote>
  <w:endnote w:type="continuationNotice" w:id="1">
    <w:p w14:paraId="0A32535B" w14:textId="77777777" w:rsidR="009F5C82" w:rsidRDefault="009F5C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7F85" w14:textId="77777777" w:rsidR="009F5C82" w:rsidRDefault="009F5C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C4CE" w14:textId="77777777" w:rsidR="009F5C82" w:rsidRDefault="009F5C82">
      <w:pPr>
        <w:spacing w:line="240" w:lineRule="auto"/>
      </w:pPr>
      <w:r>
        <w:separator/>
      </w:r>
    </w:p>
  </w:footnote>
  <w:footnote w:type="continuationSeparator" w:id="0">
    <w:p w14:paraId="3218CA5B" w14:textId="77777777" w:rsidR="009F5C82" w:rsidRDefault="009F5C82">
      <w:pPr>
        <w:spacing w:line="240" w:lineRule="auto"/>
      </w:pPr>
      <w:r>
        <w:continuationSeparator/>
      </w:r>
    </w:p>
  </w:footnote>
  <w:footnote w:type="continuationNotice" w:id="1">
    <w:p w14:paraId="1936AD1E" w14:textId="77777777" w:rsidR="009F5C82" w:rsidRDefault="009F5C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1337" w14:textId="4998E52C" w:rsidR="00A127FA" w:rsidRDefault="00A127FA">
    <w:pPr>
      <w:framePr w:w="1531" w:h="851" w:wrap="around" w:vAnchor="page" w:hAnchor="page" w:x="9186" w:y="721"/>
    </w:pPr>
    <w:r>
      <w:rPr>
        <w:rStyle w:val="Sidetal"/>
      </w:rPr>
      <w:fldChar w:fldCharType="begin"/>
    </w:r>
    <w:r>
      <w:rPr>
        <w:rStyle w:val="Sidetal"/>
      </w:rPr>
      <w:instrText xml:space="preserve"> PAGE </w:instrText>
    </w:r>
    <w:r>
      <w:rPr>
        <w:rStyle w:val="Sidetal"/>
      </w:rPr>
      <w:fldChar w:fldCharType="separate"/>
    </w:r>
    <w:r w:rsidR="00103367">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103367">
      <w:rPr>
        <w:rStyle w:val="Sidetal"/>
        <w:noProof/>
      </w:rPr>
      <w:t>4</w:t>
    </w:r>
    <w:r>
      <w:rPr>
        <w:rStyle w:val="Sidetal"/>
      </w:rPr>
      <w:fldChar w:fldCharType="end"/>
    </w:r>
  </w:p>
  <w:p w14:paraId="5254E964" w14:textId="77777777" w:rsidR="00A127FA" w:rsidRDefault="00A127FA">
    <w:pPr>
      <w:framePr w:w="1531" w:h="851" w:wrap="around" w:vAnchor="page" w:hAnchor="page" w:x="9186" w:y="721"/>
    </w:pPr>
  </w:p>
  <w:p w14:paraId="1E8A74F3" w14:textId="77777777" w:rsidR="00A127FA" w:rsidRDefault="00A127FA">
    <w:pPr>
      <w:framePr w:w="1531" w:h="851" w:wrap="around" w:vAnchor="page" w:hAnchor="page" w:x="9186" w:y="721"/>
    </w:pPr>
  </w:p>
  <w:p w14:paraId="40B55D07" w14:textId="77777777" w:rsidR="00A127FA" w:rsidRDefault="00A127F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A9D" w14:textId="77777777" w:rsidR="00A127FA" w:rsidRDefault="00A127FA">
    <w:pPr>
      <w:pStyle w:val="Sidehoved"/>
    </w:pPr>
    <w:r>
      <w:rPr>
        <w:noProof/>
      </w:rPr>
      <w:drawing>
        <wp:anchor distT="0" distB="0" distL="114300" distR="114300" simplePos="0" relativeHeight="251658752" behindDoc="0" locked="0" layoutInCell="1" allowOverlap="1" wp14:anchorId="1BE8C0FE" wp14:editId="4B4088FE">
          <wp:simplePos x="0" y="0"/>
          <wp:positionH relativeFrom="page">
            <wp:posOffset>2952750</wp:posOffset>
          </wp:positionH>
          <wp:positionV relativeFrom="page">
            <wp:posOffset>142875</wp:posOffset>
          </wp:positionV>
          <wp:extent cx="1600200" cy="504825"/>
          <wp:effectExtent l="19050" t="0" r="0" b="0"/>
          <wp:wrapSquare wrapText="bothSides"/>
          <wp:docPr id="1" name="Billede 0" descr="fina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s_rgb.jpg"/>
                  <pic:cNvPicPr/>
                </pic:nvPicPr>
                <pic:blipFill>
                  <a:blip r:embed="rId1"/>
                  <a:stretch>
                    <a:fillRect/>
                  </a:stretch>
                </pic:blipFill>
                <pic:spPr>
                  <a:xfrm>
                    <a:off x="0" y="0"/>
                    <a:ext cx="1600200" cy="504825"/>
                  </a:xfrm>
                  <a:prstGeom prst="rect">
                    <a:avLst/>
                  </a:prstGeom>
                </pic:spPr>
              </pic:pic>
            </a:graphicData>
          </a:graphic>
        </wp:anchor>
      </w:drawing>
    </w:r>
    <w:r>
      <w:rPr>
        <w:noProof/>
      </w:rPr>
      <w:drawing>
        <wp:anchor distT="0" distB="0" distL="114300" distR="114300" simplePos="0" relativeHeight="251657728" behindDoc="0" locked="1" layoutInCell="0" allowOverlap="1" wp14:anchorId="05D4655F" wp14:editId="4041B2F8">
          <wp:simplePos x="0" y="0"/>
          <wp:positionH relativeFrom="margin">
            <wp:posOffset>-9525</wp:posOffset>
          </wp:positionH>
          <wp:positionV relativeFrom="page">
            <wp:posOffset>1503045</wp:posOffset>
          </wp:positionV>
          <wp:extent cx="638175" cy="114300"/>
          <wp:effectExtent l="19050" t="0" r="9525" b="0"/>
          <wp:wrapTopAndBottom/>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38175" cy="114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C9E"/>
    <w:multiLevelType w:val="multilevel"/>
    <w:tmpl w:val="B4443E96"/>
    <w:lvl w:ilvl="0">
      <w:start w:val="1"/>
      <w:numFmt w:val="decimal"/>
      <w:pStyle w:val="Underoverskrift"/>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3C7D2F"/>
    <w:multiLevelType w:val="hybridMultilevel"/>
    <w:tmpl w:val="7B14156E"/>
    <w:lvl w:ilvl="0" w:tplc="91284876">
      <w:start w:val="1"/>
      <w:numFmt w:val="bullet"/>
      <w:pStyle w:val="Listeafsnit"/>
      <w:lvlText w:val=""/>
      <w:lvlJc w:val="left"/>
      <w:pPr>
        <w:ind w:left="1440" w:hanging="360"/>
      </w:pPr>
      <w:rPr>
        <w:rFonts w:ascii="Symbol" w:hAnsi="Symbol" w:hint="default"/>
        <w:color w:val="99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E2C0E20"/>
    <w:multiLevelType w:val="hybridMultilevel"/>
    <w:tmpl w:val="DE68F320"/>
    <w:lvl w:ilvl="0" w:tplc="A1ACD74E">
      <w:start w:val="1"/>
      <w:numFmt w:val="lowerLetter"/>
      <w:pStyle w:val="ListeBogstav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4B287A84"/>
    <w:multiLevelType w:val="hybridMultilevel"/>
    <w:tmpl w:val="BBB49F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53E53794"/>
    <w:multiLevelType w:val="hybridMultilevel"/>
    <w:tmpl w:val="308E1D24"/>
    <w:lvl w:ilvl="0" w:tplc="3E0CC88A">
      <w:start w:val="1"/>
      <w:numFmt w:val="decimal"/>
      <w:pStyle w:val="ListeTal"/>
      <w:lvlText w:val="%1."/>
      <w:lvlJc w:val="left"/>
      <w:pPr>
        <w:ind w:left="1440" w:hanging="360"/>
      </w:pPr>
      <w:rPr>
        <w:rFonts w:hint="default"/>
        <w:color w:val="000000" w:themeColor="text1"/>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57842BAA"/>
    <w:multiLevelType w:val="singleLevel"/>
    <w:tmpl w:val="F70055E2"/>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142"/>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Initialer" w:val="Empty"/>
    <w:docVar w:name="Kontor" w:val="Empty"/>
    <w:docVar w:name="PCAdato" w:val="Empty"/>
    <w:docVar w:name="PCAmodtager" w:val="Empty"/>
    <w:docVar w:name="PCAoverskrift" w:val="Empty"/>
    <w:docVar w:name="PCASag" w:val="Empty"/>
    <w:docVar w:name="PCAStart" w:val="Empty"/>
  </w:docVars>
  <w:rsids>
    <w:rsidRoot w:val="0048256B"/>
    <w:rsid w:val="00015CCC"/>
    <w:rsid w:val="0002744C"/>
    <w:rsid w:val="00075E35"/>
    <w:rsid w:val="0008139F"/>
    <w:rsid w:val="00086D41"/>
    <w:rsid w:val="00086F14"/>
    <w:rsid w:val="000A2B59"/>
    <w:rsid w:val="000A3975"/>
    <w:rsid w:val="000C0183"/>
    <w:rsid w:val="000C13A3"/>
    <w:rsid w:val="000E0796"/>
    <w:rsid w:val="000F6C48"/>
    <w:rsid w:val="0010060E"/>
    <w:rsid w:val="00103367"/>
    <w:rsid w:val="00115BE3"/>
    <w:rsid w:val="00120388"/>
    <w:rsid w:val="001575DC"/>
    <w:rsid w:val="00163A8D"/>
    <w:rsid w:val="001646FE"/>
    <w:rsid w:val="00175E39"/>
    <w:rsid w:val="001E4A6B"/>
    <w:rsid w:val="001F52F7"/>
    <w:rsid w:val="00230D73"/>
    <w:rsid w:val="00237869"/>
    <w:rsid w:val="002401EF"/>
    <w:rsid w:val="00240A81"/>
    <w:rsid w:val="00260676"/>
    <w:rsid w:val="00264092"/>
    <w:rsid w:val="002779D0"/>
    <w:rsid w:val="00283826"/>
    <w:rsid w:val="002A499B"/>
    <w:rsid w:val="002A5F1B"/>
    <w:rsid w:val="002B3B2C"/>
    <w:rsid w:val="002C6144"/>
    <w:rsid w:val="002E6F9A"/>
    <w:rsid w:val="002F13A8"/>
    <w:rsid w:val="00305117"/>
    <w:rsid w:val="00331EDD"/>
    <w:rsid w:val="00351B40"/>
    <w:rsid w:val="00356403"/>
    <w:rsid w:val="003A2641"/>
    <w:rsid w:val="003E3B9B"/>
    <w:rsid w:val="003E4349"/>
    <w:rsid w:val="00437608"/>
    <w:rsid w:val="0044286B"/>
    <w:rsid w:val="00474D9E"/>
    <w:rsid w:val="0048256B"/>
    <w:rsid w:val="00486B73"/>
    <w:rsid w:val="004A4DE8"/>
    <w:rsid w:val="004F6C17"/>
    <w:rsid w:val="005439BC"/>
    <w:rsid w:val="00550310"/>
    <w:rsid w:val="005541D0"/>
    <w:rsid w:val="005569CB"/>
    <w:rsid w:val="00586C74"/>
    <w:rsid w:val="00586ECF"/>
    <w:rsid w:val="005C331F"/>
    <w:rsid w:val="005D0375"/>
    <w:rsid w:val="005E5866"/>
    <w:rsid w:val="00607988"/>
    <w:rsid w:val="006329D6"/>
    <w:rsid w:val="0063728A"/>
    <w:rsid w:val="00663E47"/>
    <w:rsid w:val="006724DD"/>
    <w:rsid w:val="00690348"/>
    <w:rsid w:val="006B259D"/>
    <w:rsid w:val="006B704A"/>
    <w:rsid w:val="006B7AB4"/>
    <w:rsid w:val="006C3314"/>
    <w:rsid w:val="006C7261"/>
    <w:rsid w:val="006E4161"/>
    <w:rsid w:val="006F510B"/>
    <w:rsid w:val="006F5A8A"/>
    <w:rsid w:val="00700253"/>
    <w:rsid w:val="00703E18"/>
    <w:rsid w:val="0070619E"/>
    <w:rsid w:val="00713330"/>
    <w:rsid w:val="00716640"/>
    <w:rsid w:val="00743B84"/>
    <w:rsid w:val="00753209"/>
    <w:rsid w:val="0075665A"/>
    <w:rsid w:val="00765276"/>
    <w:rsid w:val="0077318F"/>
    <w:rsid w:val="007B5240"/>
    <w:rsid w:val="007C1E11"/>
    <w:rsid w:val="007C2040"/>
    <w:rsid w:val="007E5F37"/>
    <w:rsid w:val="00807E7C"/>
    <w:rsid w:val="00833168"/>
    <w:rsid w:val="0086588C"/>
    <w:rsid w:val="008937E5"/>
    <w:rsid w:val="008A60B4"/>
    <w:rsid w:val="00904F2B"/>
    <w:rsid w:val="00907B69"/>
    <w:rsid w:val="00911391"/>
    <w:rsid w:val="00914A5D"/>
    <w:rsid w:val="0091669B"/>
    <w:rsid w:val="0091789A"/>
    <w:rsid w:val="00921D37"/>
    <w:rsid w:val="009C70F7"/>
    <w:rsid w:val="009F5C82"/>
    <w:rsid w:val="00A127FA"/>
    <w:rsid w:val="00A204AF"/>
    <w:rsid w:val="00A30B33"/>
    <w:rsid w:val="00A50813"/>
    <w:rsid w:val="00AA045C"/>
    <w:rsid w:val="00AA185B"/>
    <w:rsid w:val="00AA726E"/>
    <w:rsid w:val="00AC0ED7"/>
    <w:rsid w:val="00AC1C33"/>
    <w:rsid w:val="00AC5B17"/>
    <w:rsid w:val="00AC773D"/>
    <w:rsid w:val="00AC78C9"/>
    <w:rsid w:val="00AD39DB"/>
    <w:rsid w:val="00AD56A9"/>
    <w:rsid w:val="00AE4A6D"/>
    <w:rsid w:val="00B014EF"/>
    <w:rsid w:val="00B23B9D"/>
    <w:rsid w:val="00B57A46"/>
    <w:rsid w:val="00B61ACE"/>
    <w:rsid w:val="00B64BB0"/>
    <w:rsid w:val="00B901F2"/>
    <w:rsid w:val="00B9574B"/>
    <w:rsid w:val="00BA2345"/>
    <w:rsid w:val="00BC783E"/>
    <w:rsid w:val="00BE4AA0"/>
    <w:rsid w:val="00BF501F"/>
    <w:rsid w:val="00C1043C"/>
    <w:rsid w:val="00C12726"/>
    <w:rsid w:val="00C158D6"/>
    <w:rsid w:val="00C16486"/>
    <w:rsid w:val="00C27F72"/>
    <w:rsid w:val="00C5465E"/>
    <w:rsid w:val="00CD55A7"/>
    <w:rsid w:val="00CD5C1F"/>
    <w:rsid w:val="00CF4780"/>
    <w:rsid w:val="00D31900"/>
    <w:rsid w:val="00D354F1"/>
    <w:rsid w:val="00DB1666"/>
    <w:rsid w:val="00DE79CB"/>
    <w:rsid w:val="00DF516A"/>
    <w:rsid w:val="00E1100E"/>
    <w:rsid w:val="00E2456A"/>
    <w:rsid w:val="00E34E1B"/>
    <w:rsid w:val="00E44B59"/>
    <w:rsid w:val="00E65B58"/>
    <w:rsid w:val="00E94D32"/>
    <w:rsid w:val="00EA0A9D"/>
    <w:rsid w:val="00EC3FFA"/>
    <w:rsid w:val="00ED17AC"/>
    <w:rsid w:val="00F1634E"/>
    <w:rsid w:val="00F37400"/>
    <w:rsid w:val="00F924F2"/>
    <w:rsid w:val="00FB1E39"/>
    <w:rsid w:val="00FC5A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BCEDA"/>
  <w15:docId w15:val="{EA298EB3-0BD4-4572-B158-A79D78B6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56A"/>
    <w:pPr>
      <w:spacing w:line="280" w:lineRule="exact"/>
      <w:jc w:val="both"/>
    </w:pPr>
    <w:rPr>
      <w:rFonts w:ascii="Arial" w:hAnsi="Arial"/>
      <w:sz w:val="21"/>
    </w:rPr>
  </w:style>
  <w:style w:type="paragraph" w:styleId="Overskrift1">
    <w:name w:val="heading 1"/>
    <w:basedOn w:val="Normal"/>
    <w:next w:val="Brdtekst"/>
    <w:qFormat/>
    <w:rsid w:val="00907B69"/>
    <w:pPr>
      <w:keepNext/>
      <w:spacing w:line="480" w:lineRule="exact"/>
      <w:outlineLvl w:val="0"/>
    </w:pPr>
    <w:rPr>
      <w:rFonts w:ascii="Constantia" w:hAnsi="Constantia"/>
      <w:b/>
      <w:color w:val="990000"/>
      <w:sz w:val="32"/>
    </w:rPr>
  </w:style>
  <w:style w:type="paragraph" w:styleId="Overskrift2">
    <w:name w:val="heading 2"/>
    <w:basedOn w:val="Normal"/>
    <w:next w:val="Normal"/>
    <w:link w:val="Overskrift2Tegn"/>
    <w:qFormat/>
    <w:rsid w:val="00586C74"/>
    <w:pPr>
      <w:keepNext/>
      <w:keepLines/>
      <w:spacing w:before="280" w:after="140"/>
      <w:outlineLvl w:val="1"/>
    </w:pPr>
    <w:rPr>
      <w:rFonts w:ascii="Constantia" w:eastAsiaTheme="majorEastAsia" w:hAnsi="Constantia" w:cstheme="majorBidi"/>
      <w:b/>
      <w:bCs/>
      <w:color w:val="000000" w:themeColor="text1"/>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kakt">
    <w:name w:val="skakt"/>
    <w:basedOn w:val="Normal"/>
    <w:rsid w:val="00E44B59"/>
    <w:pPr>
      <w:framePr w:w="2268" w:h="7370" w:hSpace="141" w:wrap="around" w:hAnchor="page" w:x="9270" w:anchorLock="1"/>
    </w:pPr>
    <w:rPr>
      <w:sz w:val="15"/>
    </w:rPr>
  </w:style>
  <w:style w:type="paragraph" w:customStyle="1" w:styleId="diverse">
    <w:name w:val="diverse"/>
    <w:basedOn w:val="Normal"/>
    <w:rsid w:val="00E44B59"/>
    <w:rPr>
      <w:sz w:val="18"/>
    </w:rPr>
  </w:style>
  <w:style w:type="character" w:styleId="Sidetal">
    <w:name w:val="page number"/>
    <w:basedOn w:val="Standardskrifttypeiafsnit"/>
    <w:rsid w:val="00E44B59"/>
  </w:style>
  <w:style w:type="paragraph" w:customStyle="1" w:styleId="datomv">
    <w:name w:val="datomv"/>
    <w:basedOn w:val="skakt"/>
    <w:rsid w:val="00E44B59"/>
    <w:pPr>
      <w:framePr w:w="0" w:hRule="auto" w:hSpace="142" w:wrap="around" w:vAnchor="text" w:hAnchor="text" w:x="9073" w:y="1"/>
    </w:pPr>
    <w:rPr>
      <w:rFonts w:ascii="Times New Roman" w:hAnsi="Times New Roman"/>
      <w:sz w:val="24"/>
    </w:rPr>
  </w:style>
  <w:style w:type="paragraph" w:styleId="Sidehoved">
    <w:name w:val="header"/>
    <w:basedOn w:val="Normal"/>
    <w:rsid w:val="00E44B59"/>
    <w:pPr>
      <w:tabs>
        <w:tab w:val="center" w:pos="4819"/>
        <w:tab w:val="right" w:pos="9638"/>
      </w:tabs>
    </w:pPr>
  </w:style>
  <w:style w:type="paragraph" w:customStyle="1" w:styleId="modt">
    <w:name w:val="modt"/>
    <w:basedOn w:val="Normal"/>
    <w:rsid w:val="00E44B59"/>
  </w:style>
  <w:style w:type="paragraph" w:styleId="Sidefod">
    <w:name w:val="footer"/>
    <w:basedOn w:val="Normal"/>
    <w:rsid w:val="00331EDD"/>
    <w:pPr>
      <w:tabs>
        <w:tab w:val="center" w:pos="4819"/>
        <w:tab w:val="right" w:pos="9638"/>
      </w:tabs>
      <w:spacing w:line="240" w:lineRule="auto"/>
    </w:pPr>
    <w:rPr>
      <w:sz w:val="16"/>
    </w:rPr>
  </w:style>
  <w:style w:type="paragraph" w:customStyle="1" w:styleId="Enhed">
    <w:name w:val="Enhed"/>
    <w:basedOn w:val="Normal"/>
    <w:rsid w:val="00E44B59"/>
    <w:pPr>
      <w:framePr w:h="454" w:hRule="exact" w:wrap="around" w:vAnchor="page" w:hAnchor="page" w:x="9186" w:y="1702"/>
    </w:pPr>
    <w:rPr>
      <w:b/>
      <w:caps/>
      <w:sz w:val="15"/>
    </w:rPr>
  </w:style>
  <w:style w:type="paragraph" w:styleId="Brdtekst">
    <w:name w:val="Body Text"/>
    <w:basedOn w:val="Normal"/>
    <w:rsid w:val="00CF4780"/>
  </w:style>
  <w:style w:type="paragraph" w:styleId="Markeringsbobletekst">
    <w:name w:val="Balloon Text"/>
    <w:basedOn w:val="Normal"/>
    <w:link w:val="MarkeringsbobletekstTegn"/>
    <w:uiPriority w:val="99"/>
    <w:semiHidden/>
    <w:unhideWhenUsed/>
    <w:rsid w:val="00CD5C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5C1F"/>
    <w:rPr>
      <w:rFonts w:ascii="Tahoma" w:hAnsi="Tahoma" w:cs="Tahoma"/>
      <w:sz w:val="16"/>
      <w:szCs w:val="16"/>
    </w:rPr>
  </w:style>
  <w:style w:type="character" w:customStyle="1" w:styleId="Overskrift2Tegn">
    <w:name w:val="Overskrift 2 Tegn"/>
    <w:basedOn w:val="Standardskrifttypeiafsnit"/>
    <w:link w:val="Overskrift2"/>
    <w:rsid w:val="00586C74"/>
    <w:rPr>
      <w:rFonts w:ascii="Constantia" w:eastAsiaTheme="majorEastAsia" w:hAnsi="Constantia" w:cstheme="majorBidi"/>
      <w:b/>
      <w:bCs/>
      <w:color w:val="000000" w:themeColor="text1"/>
      <w:sz w:val="22"/>
      <w:szCs w:val="26"/>
    </w:rPr>
  </w:style>
  <w:style w:type="paragraph" w:styleId="Listeafsnit">
    <w:name w:val="List Paragraph"/>
    <w:basedOn w:val="Normal"/>
    <w:uiPriority w:val="1"/>
    <w:qFormat/>
    <w:rsid w:val="00586C74"/>
    <w:pPr>
      <w:numPr>
        <w:numId w:val="3"/>
      </w:numPr>
      <w:ind w:left="426" w:hanging="426"/>
      <w:contextualSpacing/>
    </w:pPr>
  </w:style>
  <w:style w:type="paragraph" w:customStyle="1" w:styleId="Underoverskrift">
    <w:name w:val="Underoverskrift"/>
    <w:basedOn w:val="Overskrift2"/>
    <w:next w:val="Normal"/>
    <w:qFormat/>
    <w:rsid w:val="00586C74"/>
    <w:pPr>
      <w:numPr>
        <w:numId w:val="6"/>
      </w:numPr>
    </w:pPr>
  </w:style>
  <w:style w:type="paragraph" w:customStyle="1" w:styleId="ListeTal">
    <w:name w:val="ListeTal"/>
    <w:basedOn w:val="Listeafsnit"/>
    <w:uiPriority w:val="1"/>
    <w:qFormat/>
    <w:rsid w:val="00586C74"/>
    <w:pPr>
      <w:numPr>
        <w:numId w:val="5"/>
      </w:numPr>
      <w:ind w:left="426" w:hanging="426"/>
    </w:pPr>
  </w:style>
  <w:style w:type="paragraph" w:customStyle="1" w:styleId="ListeBogstaver">
    <w:name w:val="ListeBogstaver"/>
    <w:basedOn w:val="Listeafsnit"/>
    <w:uiPriority w:val="1"/>
    <w:qFormat/>
    <w:rsid w:val="00586C74"/>
    <w:pPr>
      <w:numPr>
        <w:numId w:val="4"/>
      </w:numPr>
      <w:ind w:left="426" w:hanging="426"/>
    </w:pPr>
  </w:style>
  <w:style w:type="paragraph" w:styleId="Fodnotetekst">
    <w:name w:val="footnote text"/>
    <w:basedOn w:val="Normal"/>
    <w:link w:val="FodnotetekstTegn"/>
    <w:uiPriority w:val="2"/>
    <w:qFormat/>
    <w:rsid w:val="00E2456A"/>
    <w:pPr>
      <w:spacing w:line="360" w:lineRule="auto"/>
    </w:pPr>
    <w:rPr>
      <w:sz w:val="16"/>
    </w:rPr>
  </w:style>
  <w:style w:type="character" w:customStyle="1" w:styleId="FodnotetekstTegn">
    <w:name w:val="Fodnotetekst Tegn"/>
    <w:basedOn w:val="Standardskrifttypeiafsnit"/>
    <w:link w:val="Fodnotetekst"/>
    <w:uiPriority w:val="2"/>
    <w:rsid w:val="00E2456A"/>
    <w:rPr>
      <w:rFonts w:ascii="Arial" w:hAnsi="Arial"/>
      <w:sz w:val="16"/>
    </w:rPr>
  </w:style>
  <w:style w:type="character" w:styleId="Fodnotehenvisning">
    <w:name w:val="footnote reference"/>
    <w:basedOn w:val="Standardskrifttypeiafsnit"/>
    <w:uiPriority w:val="99"/>
    <w:semiHidden/>
    <w:unhideWhenUsed/>
    <w:rsid w:val="00E2456A"/>
    <w:rPr>
      <w:vertAlign w:val="superscript"/>
    </w:rPr>
  </w:style>
  <w:style w:type="character" w:styleId="Kommentarhenvisning">
    <w:name w:val="annotation reference"/>
    <w:basedOn w:val="Standardskrifttypeiafsnit"/>
    <w:uiPriority w:val="99"/>
    <w:semiHidden/>
    <w:unhideWhenUsed/>
    <w:rsid w:val="0048256B"/>
    <w:rPr>
      <w:sz w:val="16"/>
      <w:szCs w:val="16"/>
    </w:rPr>
  </w:style>
  <w:style w:type="paragraph" w:styleId="Kommentartekst">
    <w:name w:val="annotation text"/>
    <w:basedOn w:val="Normal"/>
    <w:link w:val="KommentartekstTegn"/>
    <w:uiPriority w:val="99"/>
    <w:unhideWhenUsed/>
    <w:rsid w:val="0048256B"/>
    <w:pPr>
      <w:spacing w:line="240" w:lineRule="auto"/>
    </w:pPr>
    <w:rPr>
      <w:sz w:val="20"/>
    </w:rPr>
  </w:style>
  <w:style w:type="character" w:customStyle="1" w:styleId="KommentartekstTegn">
    <w:name w:val="Kommentartekst Tegn"/>
    <w:basedOn w:val="Standardskrifttypeiafsnit"/>
    <w:link w:val="Kommentartekst"/>
    <w:uiPriority w:val="99"/>
    <w:rsid w:val="0048256B"/>
    <w:rPr>
      <w:rFonts w:ascii="Arial" w:hAnsi="Arial"/>
    </w:rPr>
  </w:style>
  <w:style w:type="paragraph" w:styleId="Kommentaremne">
    <w:name w:val="annotation subject"/>
    <w:basedOn w:val="Kommentartekst"/>
    <w:next w:val="Kommentartekst"/>
    <w:link w:val="KommentaremneTegn"/>
    <w:uiPriority w:val="99"/>
    <w:semiHidden/>
    <w:unhideWhenUsed/>
    <w:rsid w:val="0048256B"/>
    <w:rPr>
      <w:b/>
      <w:bCs/>
    </w:rPr>
  </w:style>
  <w:style w:type="character" w:customStyle="1" w:styleId="KommentaremneTegn">
    <w:name w:val="Kommentaremne Tegn"/>
    <w:basedOn w:val="KommentartekstTegn"/>
    <w:link w:val="Kommentaremne"/>
    <w:uiPriority w:val="99"/>
    <w:semiHidden/>
    <w:rsid w:val="0048256B"/>
    <w:rPr>
      <w:rFonts w:ascii="Arial" w:hAnsi="Arial"/>
      <w:b/>
      <w:bCs/>
    </w:rPr>
  </w:style>
  <w:style w:type="paragraph" w:styleId="Korrektur">
    <w:name w:val="Revision"/>
    <w:hidden/>
    <w:uiPriority w:val="99"/>
    <w:semiHidden/>
    <w:rsid w:val="001575DC"/>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7425">
      <w:bodyDiv w:val="1"/>
      <w:marLeft w:val="0"/>
      <w:marRight w:val="0"/>
      <w:marTop w:val="0"/>
      <w:marBottom w:val="0"/>
      <w:divBdr>
        <w:top w:val="none" w:sz="0" w:space="0" w:color="auto"/>
        <w:left w:val="none" w:sz="0" w:space="0" w:color="auto"/>
        <w:bottom w:val="none" w:sz="0" w:space="0" w:color="auto"/>
        <w:right w:val="none" w:sz="0" w:space="0" w:color="auto"/>
      </w:divBdr>
    </w:div>
    <w:div w:id="12627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Notat.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270E-CCAF-4095-A44F-37FFBB13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2</TotalTime>
  <Pages>4</Pages>
  <Words>984</Words>
  <Characters>6832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Jonathan Marquard (FT)</dc:creator>
  <cp:keywords/>
  <cp:lastModifiedBy>Amalie Winkel (FT)</cp:lastModifiedBy>
  <cp:revision>3</cp:revision>
  <cp:lastPrinted>2018-03-20T14:46:00Z</cp:lastPrinted>
  <dcterms:created xsi:type="dcterms:W3CDTF">2020-02-24T10:03:00Z</dcterms:created>
  <dcterms:modified xsi:type="dcterms:W3CDTF">2020-03-09T13:05:00Z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DocNumber">
    <vt:i4>0</vt:i4>
  </property>
  <property fmtid="{D5CDD505-2E9C-101B-9397-08002B2CF9AE}" pid="4" name="AdrCode">
    <vt:lpwstr/>
  </property>
  <property fmtid="{D5CDD505-2E9C-101B-9397-08002B2CF9AE}" pid="5" name="Modtager">
    <vt:lpwstr/>
  </property>
  <property fmtid="{D5CDD505-2E9C-101B-9397-08002B2CF9AE}" pid="6" name="PDokDato">
    <vt:lpwstr>12. februar 2018</vt:lpwstr>
  </property>
  <property fmtid="{D5CDD505-2E9C-101B-9397-08002B2CF9AE}" pid="7" name="PJournalNr">
    <vt:lpwstr/>
  </property>
  <property fmtid="{D5CDD505-2E9C-101B-9397-08002B2CF9AE}" pid="8" name="PEmne">
    <vt:lpwstr>Metodenotat Fradragsfaktorer</vt:lpwstr>
  </property>
  <property fmtid="{D5CDD505-2E9C-101B-9397-08002B2CF9AE}" pid="9" name="PATitle">
    <vt:lpwstr/>
  </property>
  <property fmtid="{D5CDD505-2E9C-101B-9397-08002B2CF9AE}" pid="10" name="PATlf">
    <vt:lpwstr/>
  </property>
  <property fmtid="{D5CDD505-2E9C-101B-9397-08002B2CF9AE}" pid="11" name="PAEmail">
    <vt:lpwstr/>
  </property>
  <property fmtid="{D5CDD505-2E9C-101B-9397-08002B2CF9AE}" pid="12" name="ModtRef">
    <vt:lpwstr/>
  </property>
  <property fmtid="{D5CDD505-2E9C-101B-9397-08002B2CF9AE}" pid="13" name="Initialer">
    <vt:lpwstr>JMA</vt:lpwstr>
  </property>
  <property fmtid="{D5CDD505-2E9C-101B-9397-08002B2CF9AE}" pid="14" name="Bilag">
    <vt:i4>0</vt:i4>
  </property>
  <property fmtid="{D5CDD505-2E9C-101B-9397-08002B2CF9AE}" pid="15" name="Kontor">
    <vt:lpwstr>Bank2</vt:lpwstr>
  </property>
  <property fmtid="{D5CDD505-2E9C-101B-9397-08002B2CF9AE}" pid="16" name="Diverse">
    <vt:lpwstr/>
  </property>
</Properties>
</file>